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8D195" w14:textId="77777777" w:rsidR="000C1E0E" w:rsidRDefault="002F1A78" w:rsidP="000C1E0E">
      <w:pPr>
        <w:spacing w:line="240" w:lineRule="auto"/>
        <w:ind w:left="4536"/>
        <w:jc w:val="left"/>
        <w:rPr>
          <w:rFonts w:ascii="Times New Roman" w:hAnsi="Times New Roman"/>
          <w:sz w:val="24"/>
          <w:szCs w:val="24"/>
        </w:rPr>
      </w:pPr>
      <w:r w:rsidRPr="00142075">
        <w:rPr>
          <w:rFonts w:ascii="Times New Roman" w:hAnsi="Times New Roman"/>
          <w:sz w:val="24"/>
          <w:szCs w:val="24"/>
        </w:rPr>
        <w:t xml:space="preserve">                                                                              </w:t>
      </w:r>
      <w:r w:rsidR="000C1E0E">
        <w:rPr>
          <w:rFonts w:ascii="Times New Roman" w:hAnsi="Times New Roman"/>
          <w:sz w:val="24"/>
          <w:szCs w:val="24"/>
        </w:rPr>
        <w:t xml:space="preserve">Утверждены </w:t>
      </w:r>
    </w:p>
    <w:p w14:paraId="7A1D3D0F" w14:textId="3F2E7476" w:rsidR="000C1E0E" w:rsidRDefault="00C375C8" w:rsidP="000C1E0E">
      <w:pPr>
        <w:spacing w:line="240" w:lineRule="auto"/>
        <w:ind w:left="4536"/>
        <w:jc w:val="left"/>
        <w:rPr>
          <w:rFonts w:ascii="Times New Roman" w:hAnsi="Times New Roman"/>
          <w:sz w:val="24"/>
          <w:szCs w:val="24"/>
        </w:rPr>
      </w:pPr>
      <w:r>
        <w:rPr>
          <w:rFonts w:ascii="Times New Roman" w:hAnsi="Times New Roman"/>
          <w:sz w:val="24"/>
          <w:szCs w:val="24"/>
        </w:rPr>
        <w:t xml:space="preserve">приказом </w:t>
      </w:r>
      <w:r w:rsidR="000C1E0E">
        <w:rPr>
          <w:rFonts w:ascii="Times New Roman" w:hAnsi="Times New Roman"/>
          <w:sz w:val="24"/>
          <w:szCs w:val="24"/>
        </w:rPr>
        <w:t xml:space="preserve">Генерального директора </w:t>
      </w:r>
    </w:p>
    <w:p w14:paraId="4EBC5E76" w14:textId="264B190B" w:rsidR="000C1E0E" w:rsidRDefault="000C1E0E" w:rsidP="000C1E0E">
      <w:pPr>
        <w:spacing w:line="240" w:lineRule="auto"/>
        <w:ind w:left="4536"/>
        <w:jc w:val="left"/>
        <w:rPr>
          <w:rFonts w:ascii="Times New Roman" w:hAnsi="Times New Roman"/>
          <w:sz w:val="24"/>
          <w:szCs w:val="24"/>
        </w:rPr>
      </w:pPr>
      <w:r>
        <w:rPr>
          <w:rFonts w:ascii="Times New Roman" w:hAnsi="Times New Roman"/>
          <w:sz w:val="24"/>
          <w:szCs w:val="24"/>
        </w:rPr>
        <w:t xml:space="preserve">АО «УК УРАЛСИБ»                                                                                   от </w:t>
      </w:r>
      <w:r w:rsidR="00C375C8">
        <w:rPr>
          <w:rFonts w:ascii="Times New Roman" w:hAnsi="Times New Roman"/>
          <w:sz w:val="24"/>
          <w:szCs w:val="24"/>
        </w:rPr>
        <w:t>22</w:t>
      </w:r>
      <w:r>
        <w:rPr>
          <w:rFonts w:ascii="Times New Roman" w:hAnsi="Times New Roman"/>
          <w:sz w:val="24"/>
          <w:szCs w:val="24"/>
        </w:rPr>
        <w:t xml:space="preserve"> </w:t>
      </w:r>
      <w:r w:rsidR="00C375C8">
        <w:rPr>
          <w:rFonts w:ascii="Times New Roman" w:hAnsi="Times New Roman"/>
          <w:sz w:val="24"/>
          <w:szCs w:val="24"/>
        </w:rPr>
        <w:t>июня</w:t>
      </w:r>
      <w:r>
        <w:rPr>
          <w:rFonts w:ascii="Times New Roman" w:hAnsi="Times New Roman"/>
          <w:sz w:val="24"/>
          <w:szCs w:val="24"/>
        </w:rPr>
        <w:t xml:space="preserve"> 202</w:t>
      </w:r>
      <w:r w:rsidR="00C375C8">
        <w:rPr>
          <w:rFonts w:ascii="Times New Roman" w:hAnsi="Times New Roman"/>
          <w:sz w:val="24"/>
          <w:szCs w:val="24"/>
        </w:rPr>
        <w:t>1</w:t>
      </w:r>
      <w:r>
        <w:rPr>
          <w:rFonts w:ascii="Times New Roman" w:hAnsi="Times New Roman"/>
          <w:sz w:val="24"/>
          <w:szCs w:val="24"/>
        </w:rPr>
        <w:t xml:space="preserve"> №</w:t>
      </w:r>
      <w:r w:rsidR="009C761D">
        <w:rPr>
          <w:rFonts w:ascii="Times New Roman" w:hAnsi="Times New Roman"/>
          <w:sz w:val="24"/>
          <w:szCs w:val="24"/>
        </w:rPr>
        <w:t xml:space="preserve"> </w:t>
      </w:r>
      <w:r w:rsidR="008D3C3E" w:rsidRPr="008D3C3E">
        <w:rPr>
          <w:rFonts w:ascii="Times New Roman" w:hAnsi="Times New Roman"/>
          <w:sz w:val="24"/>
          <w:szCs w:val="24"/>
        </w:rPr>
        <w:t>2206-ПИФ-01/2021</w:t>
      </w:r>
    </w:p>
    <w:p w14:paraId="2B80B201" w14:textId="366C6BD7" w:rsidR="000C1E0E" w:rsidRDefault="00C375C8" w:rsidP="000C1E0E">
      <w:pPr>
        <w:spacing w:line="240" w:lineRule="auto"/>
        <w:ind w:left="4536"/>
        <w:jc w:val="left"/>
        <w:rPr>
          <w:rFonts w:ascii="Times New Roman" w:hAnsi="Times New Roman"/>
          <w:sz w:val="24"/>
          <w:szCs w:val="24"/>
        </w:rPr>
      </w:pPr>
      <w:r>
        <w:rPr>
          <w:rFonts w:ascii="Times New Roman" w:hAnsi="Times New Roman"/>
          <w:sz w:val="24"/>
          <w:szCs w:val="24"/>
        </w:rPr>
        <w:t>«22</w:t>
      </w:r>
      <w:r w:rsidR="000C1E0E">
        <w:rPr>
          <w:rFonts w:ascii="Times New Roman" w:hAnsi="Times New Roman"/>
          <w:sz w:val="24"/>
          <w:szCs w:val="24"/>
        </w:rPr>
        <w:t xml:space="preserve">» </w:t>
      </w:r>
      <w:r>
        <w:rPr>
          <w:rFonts w:ascii="Times New Roman" w:hAnsi="Times New Roman"/>
          <w:sz w:val="24"/>
          <w:szCs w:val="24"/>
        </w:rPr>
        <w:t>июня</w:t>
      </w:r>
      <w:r w:rsidR="000C1E0E">
        <w:rPr>
          <w:rFonts w:ascii="Times New Roman" w:hAnsi="Times New Roman"/>
          <w:sz w:val="24"/>
          <w:szCs w:val="24"/>
        </w:rPr>
        <w:t xml:space="preserve"> 202</w:t>
      </w:r>
      <w:r>
        <w:rPr>
          <w:rFonts w:ascii="Times New Roman" w:hAnsi="Times New Roman"/>
          <w:sz w:val="24"/>
          <w:szCs w:val="24"/>
        </w:rPr>
        <w:t>1</w:t>
      </w:r>
      <w:r w:rsidR="000C1E0E">
        <w:rPr>
          <w:rFonts w:ascii="Times New Roman" w:hAnsi="Times New Roman"/>
          <w:sz w:val="24"/>
          <w:szCs w:val="24"/>
        </w:rPr>
        <w:t xml:space="preserve"> г.</w:t>
      </w:r>
    </w:p>
    <w:p w14:paraId="0339A1BD" w14:textId="77777777" w:rsidR="000C1E0E" w:rsidRDefault="000C1E0E" w:rsidP="000C1E0E">
      <w:pPr>
        <w:spacing w:line="240" w:lineRule="auto"/>
        <w:ind w:left="4536"/>
        <w:jc w:val="left"/>
        <w:rPr>
          <w:rFonts w:ascii="Times New Roman" w:hAnsi="Times New Roman"/>
          <w:sz w:val="24"/>
          <w:szCs w:val="24"/>
        </w:rPr>
      </w:pPr>
    </w:p>
    <w:p w14:paraId="54FE8D2D" w14:textId="77777777" w:rsidR="000C1E0E" w:rsidRDefault="000C1E0E" w:rsidP="000C1E0E">
      <w:pPr>
        <w:spacing w:line="240" w:lineRule="auto"/>
        <w:ind w:left="4536"/>
        <w:jc w:val="left"/>
        <w:rPr>
          <w:rFonts w:ascii="Times New Roman" w:hAnsi="Times New Roman"/>
          <w:sz w:val="24"/>
          <w:szCs w:val="24"/>
        </w:rPr>
      </w:pPr>
      <w:r>
        <w:rPr>
          <w:rFonts w:ascii="Times New Roman" w:hAnsi="Times New Roman"/>
          <w:sz w:val="24"/>
          <w:szCs w:val="24"/>
        </w:rPr>
        <w:t>А.Ф. Галимнуров ____________</w:t>
      </w:r>
    </w:p>
    <w:p w14:paraId="447AD60F" w14:textId="77777777" w:rsidR="000C1E0E" w:rsidRDefault="000C1E0E" w:rsidP="000C1E0E">
      <w:pPr>
        <w:spacing w:line="240" w:lineRule="auto"/>
        <w:ind w:left="4536"/>
        <w:jc w:val="left"/>
        <w:rPr>
          <w:rFonts w:ascii="Times New Roman" w:hAnsi="Times New Roman"/>
          <w:sz w:val="24"/>
          <w:szCs w:val="24"/>
        </w:rPr>
      </w:pPr>
    </w:p>
    <w:p w14:paraId="3772DEB5" w14:textId="77777777" w:rsidR="000C1E0E" w:rsidRDefault="000C1E0E" w:rsidP="000C1E0E">
      <w:pPr>
        <w:spacing w:line="240" w:lineRule="auto"/>
        <w:ind w:left="4536"/>
        <w:jc w:val="left"/>
        <w:rPr>
          <w:rFonts w:ascii="Times New Roman" w:hAnsi="Times New Roman"/>
          <w:sz w:val="24"/>
          <w:szCs w:val="24"/>
        </w:rPr>
      </w:pPr>
      <w:r>
        <w:rPr>
          <w:rFonts w:ascii="Times New Roman" w:hAnsi="Times New Roman"/>
          <w:sz w:val="24"/>
          <w:szCs w:val="24"/>
        </w:rPr>
        <w:t>Согласовано</w:t>
      </w:r>
    </w:p>
    <w:p w14:paraId="4CD696C0" w14:textId="77777777" w:rsidR="000C1E0E" w:rsidRDefault="000C1E0E" w:rsidP="000C1E0E">
      <w:pPr>
        <w:spacing w:line="240" w:lineRule="auto"/>
        <w:ind w:left="4536"/>
        <w:jc w:val="left"/>
        <w:rPr>
          <w:rFonts w:ascii="Times New Roman" w:hAnsi="Times New Roman"/>
          <w:sz w:val="24"/>
          <w:szCs w:val="24"/>
        </w:rPr>
      </w:pPr>
      <w:r>
        <w:rPr>
          <w:rFonts w:ascii="Times New Roman" w:hAnsi="Times New Roman"/>
          <w:sz w:val="24"/>
          <w:szCs w:val="24"/>
        </w:rPr>
        <w:t>Генеральный директор АО «НСД»</w:t>
      </w:r>
    </w:p>
    <w:p w14:paraId="5F622B26" w14:textId="77777777" w:rsidR="000C1E0E" w:rsidRDefault="000C1E0E" w:rsidP="000C1E0E">
      <w:pPr>
        <w:spacing w:line="240" w:lineRule="auto"/>
        <w:ind w:left="4536"/>
        <w:jc w:val="left"/>
        <w:rPr>
          <w:rFonts w:ascii="Times New Roman" w:hAnsi="Times New Roman"/>
          <w:sz w:val="24"/>
          <w:szCs w:val="24"/>
        </w:rPr>
      </w:pPr>
    </w:p>
    <w:p w14:paraId="541E441E" w14:textId="2CBE218B" w:rsidR="000C1E0E" w:rsidRDefault="00C375C8" w:rsidP="000C1E0E">
      <w:pPr>
        <w:spacing w:line="240" w:lineRule="auto"/>
        <w:ind w:left="4536"/>
        <w:jc w:val="left"/>
        <w:rPr>
          <w:rFonts w:ascii="Times New Roman" w:hAnsi="Times New Roman"/>
          <w:sz w:val="24"/>
          <w:szCs w:val="24"/>
        </w:rPr>
      </w:pPr>
      <w:r>
        <w:rPr>
          <w:rFonts w:ascii="Times New Roman" w:hAnsi="Times New Roman"/>
          <w:sz w:val="24"/>
          <w:szCs w:val="24"/>
        </w:rPr>
        <w:t>«22</w:t>
      </w:r>
      <w:r w:rsidR="000C1E0E">
        <w:rPr>
          <w:rFonts w:ascii="Times New Roman" w:hAnsi="Times New Roman"/>
          <w:sz w:val="24"/>
          <w:szCs w:val="24"/>
        </w:rPr>
        <w:t xml:space="preserve">» </w:t>
      </w:r>
      <w:r>
        <w:rPr>
          <w:rFonts w:ascii="Times New Roman" w:hAnsi="Times New Roman"/>
          <w:sz w:val="24"/>
          <w:szCs w:val="24"/>
        </w:rPr>
        <w:t>июня</w:t>
      </w:r>
      <w:r w:rsidR="000C1E0E">
        <w:rPr>
          <w:rFonts w:ascii="Times New Roman" w:hAnsi="Times New Roman"/>
          <w:sz w:val="24"/>
          <w:szCs w:val="24"/>
        </w:rPr>
        <w:t xml:space="preserve"> 202</w:t>
      </w:r>
      <w:r>
        <w:rPr>
          <w:rFonts w:ascii="Times New Roman" w:hAnsi="Times New Roman"/>
          <w:sz w:val="24"/>
          <w:szCs w:val="24"/>
        </w:rPr>
        <w:t>1</w:t>
      </w:r>
      <w:r w:rsidR="000C1E0E">
        <w:rPr>
          <w:rFonts w:ascii="Times New Roman" w:hAnsi="Times New Roman"/>
          <w:sz w:val="24"/>
          <w:szCs w:val="24"/>
        </w:rPr>
        <w:t xml:space="preserve"> г.</w:t>
      </w:r>
    </w:p>
    <w:p w14:paraId="282821A5" w14:textId="77777777" w:rsidR="000C1E0E" w:rsidRDefault="000C1E0E" w:rsidP="000C1E0E">
      <w:pPr>
        <w:spacing w:line="240" w:lineRule="auto"/>
        <w:ind w:left="4536"/>
        <w:jc w:val="left"/>
        <w:rPr>
          <w:rFonts w:ascii="Times New Roman" w:hAnsi="Times New Roman"/>
          <w:sz w:val="24"/>
          <w:szCs w:val="24"/>
        </w:rPr>
      </w:pPr>
    </w:p>
    <w:p w14:paraId="269F7C41" w14:textId="77777777" w:rsidR="000C1E0E" w:rsidRDefault="000C1E0E" w:rsidP="000C1E0E">
      <w:pPr>
        <w:spacing w:line="240" w:lineRule="auto"/>
        <w:ind w:left="4536"/>
        <w:jc w:val="left"/>
        <w:rPr>
          <w:rFonts w:ascii="Times New Roman" w:hAnsi="Times New Roman"/>
          <w:sz w:val="24"/>
          <w:szCs w:val="24"/>
        </w:rPr>
      </w:pPr>
      <w:r>
        <w:rPr>
          <w:rFonts w:ascii="Times New Roman" w:hAnsi="Times New Roman"/>
          <w:sz w:val="24"/>
          <w:szCs w:val="24"/>
        </w:rPr>
        <w:t>М.В. Черемисина ___________</w:t>
      </w:r>
    </w:p>
    <w:p w14:paraId="23E4A52B" w14:textId="0127ED57" w:rsidR="008F177D" w:rsidRPr="006821A9" w:rsidRDefault="008F177D" w:rsidP="000C1E0E">
      <w:pPr>
        <w:spacing w:line="240" w:lineRule="auto"/>
        <w:ind w:left="5670"/>
        <w:rPr>
          <w:rFonts w:ascii="Times New Roman" w:hAnsi="Times New Roman"/>
          <w:b/>
          <w:sz w:val="24"/>
          <w:szCs w:val="24"/>
        </w:rPr>
      </w:pPr>
    </w:p>
    <w:p w14:paraId="15A11B1F" w14:textId="77777777" w:rsidR="00082243" w:rsidRPr="006821A9" w:rsidRDefault="00082243" w:rsidP="005A5E8A">
      <w:pPr>
        <w:spacing w:line="240" w:lineRule="auto"/>
        <w:jc w:val="right"/>
        <w:rPr>
          <w:rFonts w:ascii="Times New Roman" w:hAnsi="Times New Roman"/>
          <w:b/>
          <w:sz w:val="24"/>
          <w:szCs w:val="24"/>
        </w:rPr>
      </w:pPr>
    </w:p>
    <w:p w14:paraId="609A2616" w14:textId="1809EA61" w:rsidR="00B53288" w:rsidRPr="00792F3B" w:rsidRDefault="00115C9F" w:rsidP="00B53288">
      <w:pPr>
        <w:pStyle w:val="ConsPlusNormal"/>
        <w:ind w:right="-159" w:firstLine="540"/>
        <w:jc w:val="center"/>
        <w:rPr>
          <w:rFonts w:ascii="Times New Roman" w:hAnsi="Times New Roman" w:cs="Times New Roman"/>
          <w:b/>
          <w:sz w:val="24"/>
          <w:szCs w:val="24"/>
        </w:rPr>
      </w:pPr>
      <w:r w:rsidRPr="006821A9">
        <w:rPr>
          <w:rFonts w:ascii="Times New Roman" w:hAnsi="Times New Roman" w:cs="Times New Roman"/>
          <w:b/>
          <w:sz w:val="24"/>
          <w:szCs w:val="24"/>
        </w:rPr>
        <w:t>Изменения и дополнения</w:t>
      </w:r>
      <w:r w:rsidR="00A61034" w:rsidRPr="006821A9">
        <w:rPr>
          <w:rFonts w:ascii="Times New Roman" w:hAnsi="Times New Roman" w:cs="Times New Roman"/>
          <w:b/>
          <w:sz w:val="24"/>
          <w:szCs w:val="24"/>
        </w:rPr>
        <w:t xml:space="preserve"> </w:t>
      </w:r>
      <w:r w:rsidRPr="006821A9">
        <w:rPr>
          <w:rFonts w:ascii="Times New Roman" w:hAnsi="Times New Roman" w:cs="Times New Roman"/>
          <w:b/>
          <w:sz w:val="24"/>
          <w:szCs w:val="24"/>
        </w:rPr>
        <w:t xml:space="preserve">в </w:t>
      </w:r>
      <w:r w:rsidR="00B53288" w:rsidRPr="006821A9">
        <w:rPr>
          <w:rFonts w:ascii="Times New Roman" w:hAnsi="Times New Roman" w:cs="Times New Roman"/>
          <w:b/>
          <w:sz w:val="24"/>
          <w:szCs w:val="24"/>
        </w:rPr>
        <w:t xml:space="preserve">Правила определения стоимости чистых активов Открытого паевого инвестиционного фонда </w:t>
      </w:r>
      <w:r w:rsidR="0093588D" w:rsidRPr="006821A9">
        <w:rPr>
          <w:rFonts w:ascii="Times New Roman" w:hAnsi="Times New Roman" w:cs="Times New Roman"/>
          <w:b/>
          <w:sz w:val="24"/>
          <w:szCs w:val="24"/>
        </w:rPr>
        <w:t xml:space="preserve">рыночных финансовых </w:t>
      </w:r>
      <w:bookmarkStart w:id="0" w:name="_GoBack"/>
      <w:bookmarkEnd w:id="0"/>
      <w:r w:rsidR="00C84628" w:rsidRPr="006821A9">
        <w:rPr>
          <w:rFonts w:ascii="Times New Roman" w:hAnsi="Times New Roman" w:cs="Times New Roman"/>
          <w:b/>
          <w:sz w:val="24"/>
          <w:szCs w:val="24"/>
        </w:rPr>
        <w:t>инструментов</w:t>
      </w:r>
      <w:r w:rsidR="00C84628" w:rsidRPr="006821A9">
        <w:rPr>
          <w:rFonts w:ascii="Times New Roman" w:hAnsi="Times New Roman" w:cs="Times New Roman"/>
          <w:sz w:val="24"/>
          <w:szCs w:val="24"/>
        </w:rPr>
        <w:t xml:space="preserve"> </w:t>
      </w:r>
      <w:r w:rsidR="00C84628" w:rsidRPr="006821A9">
        <w:rPr>
          <w:rFonts w:ascii="Times New Roman" w:hAnsi="Times New Roman" w:cs="Times New Roman"/>
          <w:b/>
          <w:sz w:val="24"/>
          <w:szCs w:val="24"/>
        </w:rPr>
        <w:t>«</w:t>
      </w:r>
      <w:r w:rsidR="007A6F6E" w:rsidRPr="00792F3B">
        <w:rPr>
          <w:rFonts w:ascii="Times New Roman" w:hAnsi="Times New Roman" w:cs="Times New Roman"/>
          <w:b/>
          <w:sz w:val="24"/>
          <w:szCs w:val="24"/>
        </w:rPr>
        <w:t>УРАЛСИБ</w:t>
      </w:r>
      <w:r w:rsidR="007760D0" w:rsidRPr="007760D0">
        <w:rPr>
          <w:rFonts w:ascii="Times New Roman" w:hAnsi="Times New Roman" w:cs="Times New Roman"/>
          <w:b/>
          <w:sz w:val="24"/>
          <w:szCs w:val="24"/>
        </w:rPr>
        <w:t xml:space="preserve"> </w:t>
      </w:r>
      <w:r w:rsidR="007C282C" w:rsidRPr="007C282C">
        <w:rPr>
          <w:rFonts w:ascii="Times New Roman" w:hAnsi="Times New Roman" w:cs="Times New Roman"/>
          <w:b/>
          <w:sz w:val="24"/>
          <w:szCs w:val="24"/>
        </w:rPr>
        <w:t>Консервативный</w:t>
      </w:r>
      <w:r w:rsidR="007A6F6E" w:rsidRPr="00792F3B">
        <w:rPr>
          <w:rFonts w:ascii="Times New Roman" w:hAnsi="Times New Roman" w:cs="Times New Roman"/>
          <w:b/>
          <w:sz w:val="24"/>
          <w:szCs w:val="24"/>
        </w:rPr>
        <w:t xml:space="preserve">» № </w:t>
      </w:r>
      <w:r w:rsidR="00792F3B" w:rsidRPr="00792F3B">
        <w:rPr>
          <w:rFonts w:ascii="Times New Roman" w:hAnsi="Times New Roman" w:cs="Times New Roman"/>
          <w:b/>
          <w:sz w:val="24"/>
          <w:szCs w:val="24"/>
        </w:rPr>
        <w:t>9</w:t>
      </w:r>
    </w:p>
    <w:p w14:paraId="14B4122E" w14:textId="77777777" w:rsidR="0024601A" w:rsidRPr="00792F3B" w:rsidRDefault="0024601A" w:rsidP="005A5E8A">
      <w:pPr>
        <w:pStyle w:val="ConsPlusNormal"/>
        <w:ind w:firstLine="0"/>
        <w:jc w:val="center"/>
        <w:rPr>
          <w:rFonts w:ascii="Times New Roman" w:hAnsi="Times New Roman" w:cs="Times New Roman"/>
          <w:b/>
          <w:sz w:val="24"/>
          <w:szCs w:val="24"/>
        </w:rPr>
      </w:pPr>
    </w:p>
    <w:p w14:paraId="7C73C5D4" w14:textId="1A812883" w:rsidR="008F177D" w:rsidRPr="00792F3B" w:rsidRDefault="00803892" w:rsidP="007A6F6E">
      <w:pPr>
        <w:spacing w:line="240" w:lineRule="auto"/>
        <w:ind w:firstLine="540"/>
        <w:rPr>
          <w:rFonts w:ascii="Times New Roman" w:hAnsi="Times New Roman"/>
          <w:sz w:val="24"/>
          <w:szCs w:val="24"/>
        </w:rPr>
      </w:pPr>
      <w:r w:rsidRPr="00792F3B">
        <w:rPr>
          <w:rFonts w:ascii="Times New Roman" w:hAnsi="Times New Roman"/>
          <w:sz w:val="24"/>
          <w:szCs w:val="24"/>
        </w:rPr>
        <w:t xml:space="preserve">Изложить Правила определения стоимости чистых активов Открытого паевого инвестиционного фонда </w:t>
      </w:r>
      <w:r w:rsidR="0093588D" w:rsidRPr="00792F3B">
        <w:rPr>
          <w:rFonts w:ascii="Times New Roman" w:hAnsi="Times New Roman"/>
          <w:sz w:val="24"/>
          <w:szCs w:val="24"/>
        </w:rPr>
        <w:t>рыночных финансовых инструментов</w:t>
      </w:r>
      <w:r w:rsidRPr="00792F3B">
        <w:rPr>
          <w:rFonts w:ascii="Times New Roman" w:hAnsi="Times New Roman"/>
          <w:sz w:val="24"/>
          <w:szCs w:val="24"/>
        </w:rPr>
        <w:t xml:space="preserve"> </w:t>
      </w:r>
      <w:r w:rsidR="007A6F6E" w:rsidRPr="00792F3B">
        <w:rPr>
          <w:rFonts w:ascii="Times New Roman" w:hAnsi="Times New Roman"/>
          <w:b/>
          <w:sz w:val="24"/>
          <w:szCs w:val="24"/>
        </w:rPr>
        <w:t>«УРАЛСИБ</w:t>
      </w:r>
      <w:r w:rsidR="009F2C02">
        <w:rPr>
          <w:rFonts w:ascii="Times New Roman" w:hAnsi="Times New Roman"/>
          <w:b/>
          <w:sz w:val="24"/>
          <w:szCs w:val="24"/>
        </w:rPr>
        <w:t xml:space="preserve"> </w:t>
      </w:r>
      <w:r w:rsidR="007C282C" w:rsidRPr="007C282C">
        <w:rPr>
          <w:rFonts w:ascii="Times New Roman" w:hAnsi="Times New Roman"/>
          <w:b/>
          <w:sz w:val="24"/>
          <w:szCs w:val="24"/>
        </w:rPr>
        <w:t>Консервативный</w:t>
      </w:r>
      <w:r w:rsidR="007A6F6E" w:rsidRPr="00792F3B">
        <w:rPr>
          <w:rFonts w:ascii="Times New Roman" w:hAnsi="Times New Roman"/>
          <w:b/>
          <w:sz w:val="24"/>
          <w:szCs w:val="24"/>
        </w:rPr>
        <w:t>»</w:t>
      </w:r>
      <w:r w:rsidRPr="00792F3B">
        <w:rPr>
          <w:rFonts w:ascii="Times New Roman" w:hAnsi="Times New Roman"/>
          <w:sz w:val="24"/>
          <w:szCs w:val="24"/>
        </w:rPr>
        <w:t xml:space="preserve">  в следующей редакции:</w:t>
      </w:r>
      <w:r w:rsidR="00F80FE6" w:rsidRPr="00792F3B">
        <w:rPr>
          <w:rFonts w:ascii="Times New Roman" w:hAnsi="Times New Roman"/>
          <w:sz w:val="24"/>
          <w:szCs w:val="24"/>
        </w:rPr>
        <w:t xml:space="preserve"> </w:t>
      </w:r>
      <w:r w:rsidR="008F177D" w:rsidRPr="00792F3B">
        <w:rPr>
          <w:rFonts w:ascii="Times New Roman" w:hAnsi="Times New Roman"/>
          <w:sz w:val="24"/>
          <w:szCs w:val="24"/>
        </w:rPr>
        <w:t xml:space="preserve">Настоящие Правила определения стоимости чистых активов Открытого паевого инвестиционного фонда </w:t>
      </w:r>
      <w:r w:rsidR="0000433C" w:rsidRPr="00792F3B">
        <w:rPr>
          <w:rFonts w:ascii="Times New Roman" w:hAnsi="Times New Roman"/>
          <w:sz w:val="24"/>
          <w:szCs w:val="24"/>
        </w:rPr>
        <w:t>рыночных финансовых инструментов</w:t>
      </w:r>
      <w:r w:rsidR="008F177D" w:rsidRPr="00792F3B">
        <w:rPr>
          <w:rFonts w:ascii="Times New Roman" w:hAnsi="Times New Roman"/>
          <w:sz w:val="24"/>
          <w:szCs w:val="24"/>
        </w:rPr>
        <w:t xml:space="preserve"> </w:t>
      </w:r>
      <w:r w:rsidR="00641B9E">
        <w:rPr>
          <w:rFonts w:ascii="Times New Roman" w:hAnsi="Times New Roman"/>
          <w:b/>
          <w:sz w:val="24"/>
          <w:szCs w:val="24"/>
        </w:rPr>
        <w:t xml:space="preserve">«УРАЛСИБ </w:t>
      </w:r>
      <w:r w:rsidR="007C282C" w:rsidRPr="007C282C">
        <w:rPr>
          <w:rFonts w:ascii="Times New Roman" w:hAnsi="Times New Roman"/>
          <w:b/>
          <w:sz w:val="24"/>
          <w:szCs w:val="24"/>
        </w:rPr>
        <w:t>Консервативный</w:t>
      </w:r>
      <w:r w:rsidR="007A6F6E" w:rsidRPr="00792F3B">
        <w:rPr>
          <w:rFonts w:ascii="Times New Roman" w:hAnsi="Times New Roman"/>
          <w:b/>
          <w:sz w:val="24"/>
          <w:szCs w:val="24"/>
        </w:rPr>
        <w:t>»</w:t>
      </w:r>
      <w:r w:rsidR="007A6F6E" w:rsidRPr="00792F3B">
        <w:rPr>
          <w:rFonts w:ascii="Times New Roman" w:hAnsi="Times New Roman"/>
          <w:sz w:val="24"/>
          <w:szCs w:val="24"/>
        </w:rPr>
        <w:t xml:space="preserve"> </w:t>
      </w:r>
      <w:r w:rsidR="008F177D" w:rsidRPr="00792F3B">
        <w:rPr>
          <w:rFonts w:ascii="Times New Roman" w:hAnsi="Times New Roman"/>
          <w:sz w:val="24"/>
          <w:szCs w:val="24"/>
        </w:rPr>
        <w:t>(далее – Фонд, паевой инвестиционный фонд</w:t>
      </w:r>
      <w:r w:rsidR="007D6454" w:rsidRPr="00792F3B">
        <w:rPr>
          <w:rFonts w:ascii="Times New Roman" w:hAnsi="Times New Roman"/>
          <w:sz w:val="24"/>
          <w:szCs w:val="24"/>
        </w:rPr>
        <w:t>, ПИФ</w:t>
      </w:r>
      <w:r w:rsidR="008F177D" w:rsidRPr="00792F3B">
        <w:rPr>
          <w:rFonts w:ascii="Times New Roman" w:hAnsi="Times New Roman"/>
          <w:sz w:val="24"/>
          <w:szCs w:val="24"/>
        </w:rPr>
        <w:t>) разработаны в соответствии с требованиями Федерального закона от 29 ноября 2001 года № 156-ФЗ «Об инвестиционных фондов» и принятыми в соответствии с ним нормативными актами, Указания Банка России от 25 августа 2015 года № 3758-У «Об определении стоимости чистых активов инвестиционных фондов и расчетной стоимости инвестиционных паев паевых инвестиционных фондов, стоимости имущества, переданного в оплату инвестиционных паев» и иными нормативными актами Банка России.</w:t>
      </w:r>
    </w:p>
    <w:p w14:paraId="4C7EF11B" w14:textId="1AC8E99A" w:rsidR="000C1E0E" w:rsidRDefault="000C1E0E" w:rsidP="000C1E0E">
      <w:pPr>
        <w:spacing w:line="240" w:lineRule="auto"/>
        <w:rPr>
          <w:rFonts w:ascii="Times New Roman" w:hAnsi="Times New Roman"/>
          <w:sz w:val="24"/>
          <w:szCs w:val="24"/>
        </w:rPr>
      </w:pPr>
      <w:r w:rsidRPr="00792F3B">
        <w:rPr>
          <w:rFonts w:ascii="Times New Roman" w:hAnsi="Times New Roman"/>
          <w:sz w:val="24"/>
          <w:szCs w:val="24"/>
        </w:rPr>
        <w:t xml:space="preserve">Настоящая редакция Правил определения стоимости чистых активов применяется с     </w:t>
      </w:r>
      <w:r w:rsidR="00C375C8" w:rsidRPr="00792F3B">
        <w:rPr>
          <w:rFonts w:ascii="Times New Roman" w:hAnsi="Times New Roman"/>
          <w:sz w:val="24"/>
          <w:szCs w:val="24"/>
        </w:rPr>
        <w:t>01</w:t>
      </w:r>
      <w:r w:rsidRPr="00792F3B">
        <w:rPr>
          <w:rFonts w:ascii="Times New Roman" w:hAnsi="Times New Roman"/>
          <w:sz w:val="24"/>
          <w:szCs w:val="24"/>
        </w:rPr>
        <w:t>.0</w:t>
      </w:r>
      <w:r w:rsidR="00C375C8" w:rsidRPr="00792F3B">
        <w:rPr>
          <w:rFonts w:ascii="Times New Roman" w:hAnsi="Times New Roman"/>
          <w:sz w:val="24"/>
          <w:szCs w:val="24"/>
        </w:rPr>
        <w:t>7</w:t>
      </w:r>
      <w:r w:rsidRPr="00792F3B">
        <w:rPr>
          <w:rFonts w:ascii="Times New Roman" w:hAnsi="Times New Roman"/>
          <w:sz w:val="24"/>
          <w:szCs w:val="24"/>
        </w:rPr>
        <w:t>.202</w:t>
      </w:r>
      <w:r w:rsidR="00C375C8" w:rsidRPr="00792F3B">
        <w:rPr>
          <w:rFonts w:ascii="Times New Roman" w:hAnsi="Times New Roman"/>
          <w:sz w:val="24"/>
          <w:szCs w:val="24"/>
        </w:rPr>
        <w:t>1</w:t>
      </w:r>
      <w:r w:rsidRPr="00792F3B">
        <w:rPr>
          <w:rFonts w:ascii="Times New Roman" w:hAnsi="Times New Roman"/>
          <w:sz w:val="24"/>
          <w:szCs w:val="24"/>
        </w:rPr>
        <w:t>, и связана с внесением уточнений по расчету справедливой стоимости активов; уточнением и конкретизацией</w:t>
      </w:r>
      <w:r>
        <w:rPr>
          <w:rFonts w:ascii="Times New Roman" w:hAnsi="Times New Roman"/>
          <w:sz w:val="24"/>
          <w:szCs w:val="24"/>
        </w:rPr>
        <w:t xml:space="preserve"> применяемых формулировок.</w:t>
      </w:r>
    </w:p>
    <w:p w14:paraId="3CF483B2" w14:textId="77777777"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t>Правила определения стоимости чистых активов Фонда (далее - Правила определения СЧА) содержат порядок определения стоимости активов и величины обязательств, подлежащих исполнению за счет указанных активов паевого инвестиционного фонда, а также:</w:t>
      </w:r>
    </w:p>
    <w:p w14:paraId="0B6D0E99" w14:textId="77777777"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tab/>
        <w:t>критерии признания (прекращения признания) активов (обязательств);</w:t>
      </w:r>
    </w:p>
    <w:p w14:paraId="71D5A945" w14:textId="77777777"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tab/>
        <w:t>методы определения стоимости активов и величин обязательств, в том числе описание источников данных для определения стоимости активов (величины обязательств), порядка их выбора, порядка конвертации величин стоимостей, выраженных в одной валюте, в другую валюту, порядка признания рынков активов и обязательств активными, критерии выбора способов и моделей оценки стоимости в зависимости от видов активов и обязательств, а также перечень активов, подлежащих оценке оценщиком, и периодичность проведения такой оценки;</w:t>
      </w:r>
    </w:p>
    <w:p w14:paraId="2CCBA3EB" w14:textId="77777777"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tab/>
        <w:t>время, по состоянию на которое определяется стоимость чистых активов;</w:t>
      </w:r>
    </w:p>
    <w:p w14:paraId="1B5C3EC6" w14:textId="77777777"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tab/>
        <w:t>периодичность (даты) определения стоимости чистых активов;</w:t>
      </w:r>
    </w:p>
    <w:p w14:paraId="3CE0E196" w14:textId="64D9F7CC"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lastRenderedPageBreak/>
        <w:tab/>
        <w:t>порядок расчета величины резерва на выплату вознаграждения Управляющей компании и сп</w:t>
      </w:r>
      <w:r w:rsidR="00C375C8">
        <w:rPr>
          <w:rFonts w:ascii="Times New Roman" w:hAnsi="Times New Roman"/>
          <w:sz w:val="24"/>
          <w:szCs w:val="24"/>
        </w:rPr>
        <w:t xml:space="preserve">ециализированного депозитария, </w:t>
      </w:r>
      <w:r>
        <w:rPr>
          <w:rFonts w:ascii="Times New Roman" w:hAnsi="Times New Roman"/>
          <w:sz w:val="24"/>
          <w:szCs w:val="24"/>
        </w:rPr>
        <w:t>лица, осуществляющего ведение реестра в</w:t>
      </w:r>
      <w:r w:rsidR="00C375C8">
        <w:rPr>
          <w:rFonts w:ascii="Times New Roman" w:hAnsi="Times New Roman"/>
          <w:sz w:val="24"/>
          <w:szCs w:val="24"/>
        </w:rPr>
        <w:t xml:space="preserve">ладельцев инвестиционных паев, </w:t>
      </w:r>
      <w:r>
        <w:rPr>
          <w:rFonts w:ascii="Times New Roman" w:hAnsi="Times New Roman"/>
          <w:sz w:val="24"/>
          <w:szCs w:val="24"/>
        </w:rPr>
        <w:t xml:space="preserve">оценщика и аудиторской организации; </w:t>
      </w:r>
    </w:p>
    <w:p w14:paraId="1A3AFF0D" w14:textId="77777777"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tab/>
        <w:t>порядок урегулирования разногласий между Управляющей компанией и специализированным депозитарием при определении стоимости чистых активов;</w:t>
      </w:r>
    </w:p>
    <w:p w14:paraId="64575B1B" w14:textId="77777777"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tab/>
        <w:t>иную информацию, необходимую для определения стоимости чистых активов.</w:t>
      </w:r>
    </w:p>
    <w:p w14:paraId="064EFC4B" w14:textId="77777777" w:rsidR="000C1E0E" w:rsidRDefault="000C1E0E" w:rsidP="000C1E0E">
      <w:pPr>
        <w:keepNext/>
        <w:widowControl w:val="0"/>
        <w:autoSpaceDE w:val="0"/>
        <w:autoSpaceDN w:val="0"/>
        <w:spacing w:before="120" w:after="60" w:line="240" w:lineRule="auto"/>
        <w:outlineLvl w:val="1"/>
        <w:rPr>
          <w:rFonts w:ascii="Times New Roman" w:hAnsi="Times New Roman"/>
          <w:b/>
          <w:sz w:val="24"/>
          <w:szCs w:val="24"/>
        </w:rPr>
      </w:pPr>
      <w:bookmarkStart w:id="1" w:name="_Toc394856813"/>
      <w:r>
        <w:rPr>
          <w:rFonts w:ascii="Times New Roman" w:hAnsi="Times New Roman"/>
          <w:b/>
          <w:sz w:val="24"/>
          <w:szCs w:val="24"/>
        </w:rPr>
        <w:t>НОРМАТИВНЫЕ ССЫЛКИ</w:t>
      </w:r>
    </w:p>
    <w:p w14:paraId="1F3188CA" w14:textId="77777777" w:rsidR="000C1E0E" w:rsidRDefault="000C1E0E" w:rsidP="000C1E0E">
      <w:pPr>
        <w:spacing w:line="240" w:lineRule="auto"/>
        <w:rPr>
          <w:rFonts w:ascii="Times New Roman" w:hAnsi="Times New Roman"/>
          <w:sz w:val="24"/>
          <w:szCs w:val="24"/>
        </w:rPr>
      </w:pPr>
      <w:r>
        <w:rPr>
          <w:rFonts w:ascii="Times New Roman" w:hAnsi="Times New Roman"/>
          <w:sz w:val="24"/>
          <w:szCs w:val="24"/>
        </w:rPr>
        <w:t>Федеральный закон от 29 ноября 2001 года № 156-ФЗ «Об инвестиционных фондах» (далее – Федеральный закон «Об инвестиционных фондах»);</w:t>
      </w:r>
    </w:p>
    <w:p w14:paraId="4A59620F" w14:textId="77777777" w:rsidR="000C1E0E" w:rsidRDefault="000C1E0E" w:rsidP="000C1E0E">
      <w:pPr>
        <w:spacing w:line="240" w:lineRule="auto"/>
        <w:rPr>
          <w:rFonts w:ascii="Times New Roman" w:hAnsi="Times New Roman"/>
          <w:sz w:val="24"/>
          <w:szCs w:val="24"/>
        </w:rPr>
      </w:pPr>
      <w:r>
        <w:rPr>
          <w:rFonts w:ascii="Times New Roman" w:hAnsi="Times New Roman"/>
          <w:sz w:val="24"/>
          <w:szCs w:val="24"/>
        </w:rPr>
        <w:t>Указание Банка России от 25 августа 2015 года № 3758-У «Об определении стоимости чистых активов инвестиционных фондов и расчетной стоимости инвестиционных паев паевых инвестиционных фондов, стоимости имущества, переданного в оплату инвестиционных паев» (далее – Указание);</w:t>
      </w:r>
    </w:p>
    <w:p w14:paraId="6213A786" w14:textId="77777777" w:rsidR="000C1E0E" w:rsidRDefault="000C1E0E" w:rsidP="000C1E0E">
      <w:pPr>
        <w:spacing w:line="240" w:lineRule="auto"/>
        <w:rPr>
          <w:rFonts w:ascii="Times New Roman" w:hAnsi="Times New Roman"/>
          <w:sz w:val="24"/>
          <w:szCs w:val="24"/>
        </w:rPr>
      </w:pPr>
      <w:r>
        <w:rPr>
          <w:rFonts w:ascii="Times New Roman" w:hAnsi="Times New Roman"/>
          <w:sz w:val="24"/>
          <w:szCs w:val="24"/>
        </w:rPr>
        <w:t>Международный стандарт финансовой отчетности (IFRS) 13 «Оценка справедливой стоимости», введенный в действие на территории Российской Федерации приказом Министерства финансов Российской Федерации от 28.12.2015 №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270EA3DC" w14:textId="77777777" w:rsidR="000C1E0E" w:rsidRDefault="000C1E0E" w:rsidP="000C1E0E">
      <w:pPr>
        <w:spacing w:line="240" w:lineRule="auto"/>
        <w:rPr>
          <w:rFonts w:ascii="Times New Roman" w:hAnsi="Times New Roman"/>
          <w:sz w:val="24"/>
          <w:szCs w:val="24"/>
        </w:rPr>
      </w:pPr>
      <w:r>
        <w:rPr>
          <w:rFonts w:ascii="Times New Roman" w:hAnsi="Times New Roman"/>
          <w:sz w:val="24"/>
          <w:szCs w:val="24"/>
        </w:rPr>
        <w:t>Федеральный закон от 29 июля 1998 года № 135-ФЗ «Об оценочной деятельности в Российской Федерации» (далее - Федеральный закон «Об оценочной деятельности в Российской Федерации»).</w:t>
      </w:r>
    </w:p>
    <w:p w14:paraId="77B10323" w14:textId="77777777" w:rsidR="000C1E0E" w:rsidRDefault="000C1E0E" w:rsidP="000C1E0E">
      <w:pPr>
        <w:autoSpaceDE w:val="0"/>
        <w:autoSpaceDN w:val="0"/>
        <w:spacing w:line="240" w:lineRule="auto"/>
        <w:ind w:left="284" w:hanging="284"/>
        <w:rPr>
          <w:rFonts w:ascii="Times New Roman" w:hAnsi="Times New Roman"/>
          <w:sz w:val="24"/>
          <w:szCs w:val="24"/>
        </w:rPr>
      </w:pPr>
    </w:p>
    <w:p w14:paraId="5CD25C36" w14:textId="77777777" w:rsidR="000C1E0E" w:rsidRDefault="000C1E0E" w:rsidP="000C1E0E">
      <w:pPr>
        <w:keepNext/>
        <w:widowControl w:val="0"/>
        <w:numPr>
          <w:ilvl w:val="1"/>
          <w:numId w:val="4"/>
        </w:numPr>
        <w:autoSpaceDE w:val="0"/>
        <w:autoSpaceDN w:val="0"/>
        <w:spacing w:before="120" w:after="60" w:line="240" w:lineRule="auto"/>
        <w:outlineLvl w:val="1"/>
        <w:rPr>
          <w:rFonts w:ascii="Times New Roman" w:hAnsi="Times New Roman"/>
          <w:b/>
          <w:sz w:val="24"/>
          <w:szCs w:val="24"/>
        </w:rPr>
      </w:pPr>
      <w:r>
        <w:rPr>
          <w:rFonts w:ascii="Times New Roman" w:hAnsi="Times New Roman"/>
          <w:b/>
          <w:sz w:val="24"/>
          <w:szCs w:val="24"/>
        </w:rPr>
        <w:t>ОБЩИЕ ПОЛОЖЕНИЯ</w:t>
      </w:r>
    </w:p>
    <w:p w14:paraId="0D285F42" w14:textId="77777777" w:rsidR="000C1E0E" w:rsidRDefault="000C1E0E" w:rsidP="000C1E0E">
      <w:pPr>
        <w:tabs>
          <w:tab w:val="left" w:pos="540"/>
        </w:tabs>
        <w:spacing w:after="60" w:line="240" w:lineRule="auto"/>
        <w:ind w:left="256"/>
        <w:rPr>
          <w:rFonts w:ascii="Times New Roman" w:hAnsi="Times New Roman"/>
          <w:sz w:val="24"/>
          <w:szCs w:val="24"/>
        </w:rPr>
      </w:pPr>
    </w:p>
    <w:p w14:paraId="60DB2012"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Определение стоимости чистых активов инвестиционных фондов осуществляется в соответствии с Федеральным законом «Об инвестиционных фондах», принятыми в соответствии с ним нормативными актами, Указанием и Правилами определения СЧА.</w:t>
      </w:r>
    </w:p>
    <w:p w14:paraId="516A3C1D"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Акционерное общество «Управляющая компания УРАЛСИБ» (далее – Управляющая компания) определяет стоимость чистых активов в соответствии с Правилами определения СЧА, согласованными специализированным депозитарием.</w:t>
      </w:r>
    </w:p>
    <w:p w14:paraId="7390FBC0"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Стоимость чистых активов (СЧА) определяется как разница между стоимостью всех активов паевого инвестиционного фонда (далее - активы) и величиной всех обязательств, подлежащих исполнению за счет указанных активов (далее - обязательства), на момент определения стоимости чистых активов.</w:t>
      </w:r>
    </w:p>
    <w:p w14:paraId="1C16DF13"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Среднегодовая стоимость чистых активов (СГСЧА) Фонда на любой день определяется как отношение суммы стоимостей чистых активов на каждый рабочий день календарного года с начала года (если на рабочий день календарного года стоимость чистых активов не определялась - на последний день ее определения, предшествующий такому дню) до даты расчета среднегодовой стоимости чистых активов к числу рабочих дней за этот период.</w:t>
      </w:r>
    </w:p>
    <w:p w14:paraId="3478AC27"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 xml:space="preserve">Стоимость активов и величина обязательств определяются по справедливой стоимости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 217н «О введении Международных стандартов финансовой </w:t>
      </w:r>
      <w:r>
        <w:rPr>
          <w:rFonts w:ascii="Times New Roman" w:hAnsi="Times New Roman"/>
          <w:sz w:val="24"/>
          <w:szCs w:val="24"/>
        </w:rPr>
        <w:lastRenderedPageBreak/>
        <w:t>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14711C41"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Управляющая компания осуществляет выбор и допустимость применяемых подходов к оценке активов и обязательств по согласованию со специализированным депозитарием Фонда.</w:t>
      </w:r>
    </w:p>
    <w:p w14:paraId="5255930C"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Правила определения СЧА разрабатываются Управляющей компанией в соответствии с требованиями Указания Банка России от 25.08.2015 № 3758-У «Об определении стоимости чистых активов инвестиционных фондов и расчетной стоимости инвестиционных паев паевых инвестиционных фондов, стоимости имущества, переданного в оплату инвестиционных паев» и иных нормативных актов Банка России.</w:t>
      </w:r>
    </w:p>
    <w:p w14:paraId="37F71E5C"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Изменения и дополнения в Правила определения стоимости чистых активов не могут быть внесены (за исключением случаев невозможности определения стоимости чистых активов):</w:t>
      </w:r>
    </w:p>
    <w:p w14:paraId="1E547196" w14:textId="77777777" w:rsidR="000C1E0E" w:rsidRDefault="000C1E0E" w:rsidP="000C1E0E">
      <w:pPr>
        <w:spacing w:before="60" w:after="60" w:line="240" w:lineRule="auto"/>
        <w:ind w:left="709"/>
        <w:rPr>
          <w:rFonts w:ascii="Times New Roman" w:hAnsi="Times New Roman"/>
          <w:sz w:val="24"/>
          <w:szCs w:val="24"/>
        </w:rPr>
      </w:pPr>
      <w:r>
        <w:rPr>
          <w:rFonts w:ascii="Times New Roman" w:hAnsi="Times New Roman"/>
          <w:sz w:val="24"/>
          <w:szCs w:val="24"/>
        </w:rPr>
        <w:t>в период с даты начала до даты завершения (окончания) формирования паевого инвестиционного фонда;</w:t>
      </w:r>
    </w:p>
    <w:p w14:paraId="289649E1" w14:textId="77777777" w:rsidR="000C1E0E" w:rsidRDefault="000C1E0E" w:rsidP="000C1E0E">
      <w:pPr>
        <w:spacing w:before="60" w:after="60" w:line="240" w:lineRule="auto"/>
        <w:ind w:left="709"/>
        <w:rPr>
          <w:rFonts w:ascii="Times New Roman" w:hAnsi="Times New Roman"/>
          <w:sz w:val="24"/>
          <w:szCs w:val="24"/>
        </w:rPr>
      </w:pPr>
      <w:r>
        <w:rPr>
          <w:rFonts w:ascii="Times New Roman" w:hAnsi="Times New Roman"/>
          <w:sz w:val="24"/>
          <w:szCs w:val="24"/>
        </w:rPr>
        <w:t>после даты возникновения основания прекращения паевого инвестиционного фонда.</w:t>
      </w:r>
    </w:p>
    <w:p w14:paraId="289D1408"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Правила определения стоимости чистых активов (изменения и дополнения в них) утверждаются исполнительным органом Управляющей компании паевого инвестиционного фонда по согласованию со специализированным депозитарием (его исполнительным органом).</w:t>
      </w:r>
    </w:p>
    <w:p w14:paraId="2D1641D6"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 xml:space="preserve">Правила определения стоимости чистых активов (изменения и дополнения в них) представляются Управляющей компанией паевого инвестиционного фонда в уведомительном порядке в Банк России в течение двух рабочих дней с даты их утверждения и согласования со специализированным депозитарием путем направления электронного документа, подписанного усиленной квалифицированной электронной подписью, по телекоммуникационным каналам связи, в том числе через информационно-телекоммуникационную сеть "Интернет". </w:t>
      </w:r>
    </w:p>
    <w:p w14:paraId="49E87ACB"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Информация о Правилах определения СЧА подлежит раскрытию на официальном сайте Управляющей компании в информационно-телекоммуникационной сети «Интернет».</w:t>
      </w:r>
    </w:p>
    <w:p w14:paraId="76BBA598"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Изменения и дополнения, вносимые в Правила определения СЧА, подлежат раскрытию на официальном сайте Управляющей компании в информационно-телекоммуникационной сети «Интернет» не позднее пяти рабочих дней до даты начала применения Правил определения СЧА с внесенными изменениями и дополнениями.</w:t>
      </w:r>
    </w:p>
    <w:p w14:paraId="17CCAEFC"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b/>
          <w:sz w:val="24"/>
          <w:szCs w:val="24"/>
        </w:rPr>
        <w:t>Периодичность определения стоимости чистых активов</w:t>
      </w:r>
      <w:r>
        <w:rPr>
          <w:rFonts w:ascii="Times New Roman" w:hAnsi="Times New Roman"/>
          <w:sz w:val="24"/>
          <w:szCs w:val="24"/>
        </w:rPr>
        <w:t>:</w:t>
      </w:r>
    </w:p>
    <w:p w14:paraId="2261A947" w14:textId="77777777" w:rsidR="000C1E0E" w:rsidRDefault="000C1E0E" w:rsidP="000C1E0E">
      <w:pPr>
        <w:spacing w:before="60" w:after="60" w:line="240" w:lineRule="auto"/>
        <w:ind w:left="709"/>
        <w:rPr>
          <w:rFonts w:ascii="Times New Roman" w:hAnsi="Times New Roman"/>
          <w:sz w:val="24"/>
          <w:szCs w:val="24"/>
        </w:rPr>
      </w:pPr>
      <w:r>
        <w:rPr>
          <w:rFonts w:ascii="Times New Roman" w:hAnsi="Times New Roman"/>
          <w:sz w:val="24"/>
          <w:szCs w:val="24"/>
        </w:rPr>
        <w:t>Стоимость чистых активов Фонда определяется каждый рабочий день по состоянию на 23:59:59 московского времени даты, на которую рассчитывается СЧА, с учетом данных, раскрытых на указанную дату в доступных для управляющей компании источниках, вне зависимости от часового пояса.</w:t>
      </w:r>
    </w:p>
    <w:p w14:paraId="17A7D752"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Стоимость чистых активов, в том числе среднегодовая стоимость чистых активов, а также расчетная стоимость инвестиционного пая Фонда определяются в рублях с точностью до двух знаков после запятой с применением правил математического округления в рублях.</w:t>
      </w:r>
    </w:p>
    <w:p w14:paraId="1CFC260E"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 xml:space="preserve">В случае изменения данных, на основании которых была определена стоимость </w:t>
      </w:r>
      <w:r>
        <w:rPr>
          <w:rFonts w:ascii="Times New Roman" w:hAnsi="Times New Roman"/>
          <w:sz w:val="24"/>
          <w:szCs w:val="24"/>
        </w:rPr>
        <w:lastRenderedPageBreak/>
        <w:t>чистых активов, стоимость чистых активов подлежит перерасчету.</w:t>
      </w:r>
    </w:p>
    <w:p w14:paraId="104CA295"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Перерасчет стоимости чистых активов не осуществляется в случае, когда отклонение использованной в расчете стоимости актива (обязательства) составит менее чем 0,1% корректной стоимости чистых активов, и отклонения стоимости чистых активов на этот момент расчета составляет менее 0,1% корректной стоимости чистых активов.</w:t>
      </w:r>
    </w:p>
    <w:p w14:paraId="6705EA25"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При определении стоимости чистых активов в состав обязательств включается резерв на выплату вознаграждения Управляющей компании, специализированному депозитарию, аудиторской организации, лицу, осуществляющему ведение реестра владельцев инвестиционных паев паевого инвестиционного фонда (далее - резерв на выплату вознаграждения), определенный исходя из размера вознаграждения, предусмотренного соответствующим лицам правилами доверительного управления паевым инвестиционным фондом (Правила ДУ ПИФ). В состав обязательств не включается резерв на выплату вознаграждения, размер которого зависит от результатов инвестирования.</w:t>
      </w:r>
    </w:p>
    <w:p w14:paraId="68F47A3C"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Не допускается включение в состав обязательств иных резервов, в том числе резерва на оплату расходов, связанных с доверительным управлением имуществом, составляющим паевой инвестиционный фонд.</w:t>
      </w:r>
    </w:p>
    <w:p w14:paraId="0602461D" w14:textId="77777777" w:rsidR="000C1E0E" w:rsidRDefault="000C1E0E" w:rsidP="000C1E0E">
      <w:pPr>
        <w:widowControl w:val="0"/>
        <w:numPr>
          <w:ilvl w:val="2"/>
          <w:numId w:val="4"/>
        </w:numPr>
        <w:spacing w:before="60" w:after="60" w:line="240" w:lineRule="auto"/>
        <w:jc w:val="left"/>
        <w:rPr>
          <w:rFonts w:ascii="Times New Roman" w:hAnsi="Times New Roman"/>
          <w:sz w:val="24"/>
          <w:szCs w:val="24"/>
        </w:rPr>
      </w:pPr>
      <w:r>
        <w:rPr>
          <w:rFonts w:ascii="Times New Roman" w:hAnsi="Times New Roman"/>
          <w:sz w:val="24"/>
          <w:szCs w:val="24"/>
        </w:rPr>
        <w:t xml:space="preserve"> Стоимость чистых активов паевого инвестиционного фонда определяется:</w:t>
      </w:r>
    </w:p>
    <w:p w14:paraId="204872BF" w14:textId="77777777" w:rsidR="000C1E0E" w:rsidRDefault="000C1E0E" w:rsidP="000C1E0E">
      <w:pPr>
        <w:spacing w:before="60" w:after="60" w:line="240" w:lineRule="auto"/>
        <w:ind w:left="709"/>
        <w:jc w:val="left"/>
        <w:rPr>
          <w:rFonts w:ascii="Times New Roman" w:hAnsi="Times New Roman"/>
          <w:sz w:val="24"/>
          <w:szCs w:val="24"/>
        </w:rPr>
      </w:pPr>
      <w:r>
        <w:rPr>
          <w:rFonts w:ascii="Times New Roman" w:hAnsi="Times New Roman"/>
          <w:sz w:val="24"/>
          <w:szCs w:val="24"/>
        </w:rPr>
        <w:t>на дату завершения (окончания) формирования паевого инвестиционного фонда;</w:t>
      </w:r>
    </w:p>
    <w:p w14:paraId="1666C34F" w14:textId="77777777" w:rsidR="000C1E0E" w:rsidRDefault="000C1E0E" w:rsidP="000C1E0E">
      <w:pPr>
        <w:spacing w:before="60" w:after="60" w:line="240" w:lineRule="auto"/>
        <w:ind w:left="709"/>
        <w:jc w:val="left"/>
        <w:rPr>
          <w:rFonts w:ascii="Times New Roman" w:hAnsi="Times New Roman"/>
          <w:sz w:val="24"/>
          <w:szCs w:val="24"/>
        </w:rPr>
      </w:pPr>
      <w:r>
        <w:rPr>
          <w:rFonts w:ascii="Times New Roman" w:hAnsi="Times New Roman"/>
          <w:sz w:val="24"/>
          <w:szCs w:val="24"/>
        </w:rPr>
        <w:t>в случае приостановления выдачи, погашения и обмена инвестиционных паев - на дату возобновления их выдачи, погашения и обмена;</w:t>
      </w:r>
    </w:p>
    <w:p w14:paraId="7F5F70D5" w14:textId="77777777" w:rsidR="000C1E0E" w:rsidRDefault="000C1E0E" w:rsidP="000C1E0E">
      <w:pPr>
        <w:spacing w:before="60" w:after="60" w:line="240" w:lineRule="auto"/>
        <w:ind w:left="709"/>
        <w:jc w:val="left"/>
        <w:rPr>
          <w:rFonts w:ascii="Times New Roman" w:hAnsi="Times New Roman"/>
          <w:sz w:val="24"/>
          <w:szCs w:val="24"/>
        </w:rPr>
      </w:pPr>
      <w:r>
        <w:rPr>
          <w:rFonts w:ascii="Times New Roman" w:hAnsi="Times New Roman"/>
          <w:sz w:val="24"/>
          <w:szCs w:val="24"/>
        </w:rPr>
        <w:t>в случае прекращения паевого инвестиционного фонда - на дату возникновения основания его прекращения;</w:t>
      </w:r>
    </w:p>
    <w:p w14:paraId="0B7891FE" w14:textId="77777777" w:rsidR="000C1E0E" w:rsidRDefault="000C1E0E" w:rsidP="000C1E0E">
      <w:pPr>
        <w:spacing w:before="60" w:after="60" w:line="240" w:lineRule="auto"/>
        <w:ind w:left="709"/>
        <w:jc w:val="left"/>
        <w:rPr>
          <w:rFonts w:ascii="Times New Roman" w:hAnsi="Times New Roman"/>
          <w:sz w:val="24"/>
          <w:szCs w:val="24"/>
        </w:rPr>
      </w:pPr>
      <w:r>
        <w:rPr>
          <w:rFonts w:ascii="Times New Roman" w:hAnsi="Times New Roman"/>
          <w:sz w:val="24"/>
          <w:szCs w:val="24"/>
        </w:rPr>
        <w:t>после завершения (окончания) формирования открытого паевого инвестиционного фонда - каждый рабочий день.</w:t>
      </w:r>
    </w:p>
    <w:p w14:paraId="2B85856E"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Стоимость чистых активов определяется не позднее рабочего дня, следующего за днем, по состоянию на который осуществляется определение стоимости чистых активов.</w:t>
      </w:r>
    </w:p>
    <w:p w14:paraId="3C5CA3BA"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Данные, подтверждающие расчеты величин, произведенные в соответствии с настоящими Правилами СЧА, хранятся не менее трех лет с даты соответствующего расчета.</w:t>
      </w:r>
    </w:p>
    <w:p w14:paraId="4901FD72"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Результаты определения стоимости чистых активов Фонда, а также расчетной стоимости инвестиционного пая Фонда отражаются в справке о стоимости чистых активов, за исключением определения стоимости чистых активов паевого инвестиционного фонда до завершения его формирования.</w:t>
      </w:r>
    </w:p>
    <w:p w14:paraId="6C64E750" w14:textId="77777777" w:rsidR="000C1E0E" w:rsidRDefault="000C1E0E" w:rsidP="000C1E0E">
      <w:pPr>
        <w:widowControl w:val="0"/>
        <w:numPr>
          <w:ilvl w:val="0"/>
          <w:numId w:val="4"/>
        </w:numPr>
        <w:tabs>
          <w:tab w:val="left" w:pos="567"/>
          <w:tab w:val="left" w:pos="851"/>
        </w:tabs>
        <w:spacing w:before="240" w:after="60" w:line="240" w:lineRule="auto"/>
        <w:outlineLvl w:val="0"/>
        <w:rPr>
          <w:rFonts w:ascii="Times New Roman" w:hAnsi="Times New Roman"/>
          <w:b/>
          <w:sz w:val="24"/>
          <w:szCs w:val="24"/>
        </w:rPr>
      </w:pPr>
      <w:r>
        <w:rPr>
          <w:rFonts w:ascii="Times New Roman" w:hAnsi="Times New Roman"/>
          <w:b/>
          <w:sz w:val="24"/>
          <w:szCs w:val="24"/>
        </w:rPr>
        <w:t>КРИТЕРИИ ПРИЗНАНИЯ (ПРЕКРАЩЕНИЯ ПРИЗНАНИЯ) АКТИВОВ (ОБЯЗАТЕЛЬСТВ).</w:t>
      </w:r>
    </w:p>
    <w:p w14:paraId="760ACD4A" w14:textId="77777777" w:rsidR="000C1E0E" w:rsidRDefault="000C1E0E" w:rsidP="000C1E0E">
      <w:pPr>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Активы (обязательства) принимаются к расчету стоимости чистых активов в случае их признания в соответствии с Международными стандартами финансовой отчетности (далее – МСФО), введенными в действие на территории Российской Федерации.</w:t>
      </w:r>
    </w:p>
    <w:p w14:paraId="17727903" w14:textId="77777777" w:rsidR="000C1E0E" w:rsidRDefault="000C1E0E" w:rsidP="000C1E0E">
      <w:pPr>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 xml:space="preserve">Стоимость активов, в том числе определенная на основании отчета оценщика (далее - отчет оценщика), составленного в соответствии с требованиями Федерального закона «Об оценочной деятельности в Российской Федерации»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 </w:t>
      </w:r>
    </w:p>
    <w:p w14:paraId="1D991593" w14:textId="77777777" w:rsidR="000C1E0E" w:rsidRDefault="000C1E0E" w:rsidP="000C1E0E">
      <w:pPr>
        <w:keepNext/>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lastRenderedPageBreak/>
        <w:t>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стоимость чистых активов. При этом стоимость актива определяется на основании доступного на момент определения стоимости чистых активов отчета оценщика с датой оценки наиболее близкой к дате определения стоимости актива.</w:t>
      </w:r>
    </w:p>
    <w:p w14:paraId="14DD65B2" w14:textId="77777777" w:rsidR="000C1E0E" w:rsidRDefault="000C1E0E" w:rsidP="000C1E0E">
      <w:pPr>
        <w:keepNext/>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В случае если настоящими Правилами определения СЧА в целях определения справедливой стоимости актива (величины обязательства) предусмотрено использование стоимости, определенной на основании  отчета оценщика, при этом правила доверительного управления не содержат указание на наличии в паевом инвестиционном фонде оценщика, то такая оценка производится за счет средств Управляющей компании при соблюдении требований к оценщику, определенных требованиями действующего законодательства Российской Федерации.</w:t>
      </w:r>
    </w:p>
    <w:p w14:paraId="0C932779" w14:textId="77777777" w:rsidR="000C1E0E" w:rsidRDefault="000C1E0E" w:rsidP="000C1E0E">
      <w:pPr>
        <w:keepNext/>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Стоимость актива может определяться для целей настоящих Правил определения СЧА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предусмотренных Федеральным законом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p>
    <w:p w14:paraId="045DFD37" w14:textId="77777777" w:rsidR="000C1E0E" w:rsidRDefault="000C1E0E" w:rsidP="000C1E0E">
      <w:pPr>
        <w:keepNext/>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Активами признаются:</w:t>
      </w:r>
    </w:p>
    <w:p w14:paraId="24C7D98F"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денежные средства;</w:t>
      </w:r>
    </w:p>
    <w:p w14:paraId="21F20DBB"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ценные бумаги, предусмотренные инвестиционной декларацией Фонда;</w:t>
      </w:r>
    </w:p>
    <w:p w14:paraId="5E057D0C"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требования к кредитной организации выплатить денежный эквивалент драгоценных металлов по текущему курсу;</w:t>
      </w:r>
    </w:p>
    <w:p w14:paraId="139B2575"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дебиторская задолженность;</w:t>
      </w:r>
    </w:p>
    <w:p w14:paraId="41F8A2CA"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иные разрешенные активы.</w:t>
      </w:r>
    </w:p>
    <w:p w14:paraId="7A89FC71" w14:textId="77777777" w:rsidR="000C1E0E" w:rsidRDefault="000C1E0E" w:rsidP="000C1E0E">
      <w:pPr>
        <w:keepNext/>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Под ценными бумагами, указанными в абзаце втором пункта 2.6 настоящих Правил определения СЧА, понимаются следующие виды активов:</w:t>
      </w:r>
    </w:p>
    <w:p w14:paraId="1AA66BD2"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акции российских акционерных обществ;</w:t>
      </w:r>
    </w:p>
    <w:p w14:paraId="7D8318FF"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акции иностранных акционерных обществ;</w:t>
      </w:r>
    </w:p>
    <w:p w14:paraId="2962FA4E"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долговые инструменты;</w:t>
      </w:r>
    </w:p>
    <w:p w14:paraId="55294BFD"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инвестиционные паи паевых инвестиционных фондов;</w:t>
      </w:r>
    </w:p>
    <w:p w14:paraId="2C5517F5"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паи (акции) иностранных инвестиционных фондов;</w:t>
      </w:r>
    </w:p>
    <w:p w14:paraId="5784CCD2"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российские и иностранные депозитарные расписки на ценные бумаги;</w:t>
      </w:r>
    </w:p>
    <w:p w14:paraId="1CB284AF"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депозитные сертификаты российских кредитных организаций и иностранных банков иностранных государств;</w:t>
      </w:r>
    </w:p>
    <w:p w14:paraId="0798F2BD"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иные ценные бумаги, предусмотренные Правилами доверительного управления Фондом.</w:t>
      </w:r>
    </w:p>
    <w:p w14:paraId="11A4E2E0" w14:textId="77777777" w:rsidR="000C1E0E" w:rsidRDefault="000C1E0E" w:rsidP="000C1E0E">
      <w:pPr>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Обязательствами Фонда признаются:</w:t>
      </w:r>
    </w:p>
    <w:p w14:paraId="7DA07746"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t>обязательства по выдаче инвестиционных паев;</w:t>
      </w:r>
    </w:p>
    <w:p w14:paraId="100CB8B6"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t>обязательства по выплате денежной компенсации при погашении инвестиционных паев;</w:t>
      </w:r>
    </w:p>
    <w:p w14:paraId="5316D065"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t>обязательства по передаче денежных средств в паевой инвестиционный фонд, на инвестиционные паи которого осуществляется обмен;</w:t>
      </w:r>
    </w:p>
    <w:p w14:paraId="2D4587F6"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lastRenderedPageBreak/>
        <w:t>обязательства по возмещению за счет имущества, составляющего Фонд, собственных денежных средств Управляющей компании Фонда, использованных ею для выплаты денежной компенсации в связи с погашением инвестиционных паев;</w:t>
      </w:r>
    </w:p>
    <w:p w14:paraId="5F7DB6F7"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t>обязательства по возмещению за счет имущества, составляющего Фонд, собственных денежных средств Управляющей компании Фонда, использованных для выдачи займа Фонду в связи с недостаточностью денежных средств в имуществе Фонда для обмена паев Фонда;</w:t>
      </w:r>
    </w:p>
    <w:p w14:paraId="74E11052"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t xml:space="preserve">обязательства, подлежащие исполнению за счет активов Фонда, в том числе обязательства по выплате вознаграждения Управляющей компании, специализированному депозитарию, аудитору, лицу, осуществляющему ведение реестра владельцев инвестиционных паев Фонда, обязательства по уплате сумм скидок с расчетной стоимости инвестиционного пая (надбавок к расчетной стоимости инвестиционного пая) Управляющей компании Фонда и (или) агентам по выдаче, погашению и обмену инвестиционных паев, а также обязательства по оплате прочих расходов, осуществляемых за счет имущества Фонда в соответствии с требованиями действующего законодательства; </w:t>
      </w:r>
    </w:p>
    <w:p w14:paraId="793C1DE2"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t>резерв на выплату вознаграждения Управляющей компании, специализированному депозитарию, аудитору Фонда, лицу, осуществляющему ведение реестра владельцев инвестиционных паев Фонда (далее – резерв на выплату вознаграждения);</w:t>
      </w:r>
    </w:p>
    <w:p w14:paraId="1253704C"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t>иные обязательства в соответствии с Правилами доверительного управления Фондом.</w:t>
      </w:r>
    </w:p>
    <w:p w14:paraId="2607DD91" w14:textId="77777777" w:rsidR="000C1E0E" w:rsidRDefault="000C1E0E" w:rsidP="000C1E0E">
      <w:pPr>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sz w:val="24"/>
          <w:szCs w:val="24"/>
        </w:rPr>
        <w:t>Признание и прекращение признания покупки или продажи финансовых активов осуществляется с использованием учета по дате расчетов по сделке.</w:t>
      </w:r>
      <w:r>
        <w:t xml:space="preserve"> </w:t>
      </w:r>
    </w:p>
    <w:p w14:paraId="16CBC1DE" w14:textId="77777777" w:rsidR="000C1E0E" w:rsidRDefault="000C1E0E" w:rsidP="000C1E0E">
      <w:pPr>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Признание (прекращение признания) на дату расчетов предусматривает признание актива в день перехода права собственности на актив к Фонду или от Фонда контрагенту;</w:t>
      </w:r>
    </w:p>
    <w:p w14:paraId="21D93259" w14:textId="77777777" w:rsidR="000C1E0E" w:rsidRDefault="000C1E0E" w:rsidP="000C1E0E">
      <w:pPr>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Прекращение признания актива и признание прибыли или убытка от выбытия на дату перехода права собственности на актив от Фонда третьему лицу.</w:t>
      </w:r>
    </w:p>
    <w:p w14:paraId="246D4BDD" w14:textId="77777777" w:rsidR="000C1E0E" w:rsidRDefault="000C1E0E" w:rsidP="000C1E0E">
      <w:pPr>
        <w:widowControl w:val="0"/>
        <w:numPr>
          <w:ilvl w:val="1"/>
          <w:numId w:val="4"/>
        </w:numPr>
        <w:tabs>
          <w:tab w:val="left" w:pos="426"/>
        </w:tabs>
        <w:spacing w:before="60" w:after="100" w:line="240" w:lineRule="auto"/>
        <w:outlineLvl w:val="0"/>
        <w:rPr>
          <w:rFonts w:ascii="Times New Roman" w:hAnsi="Times New Roman"/>
          <w:sz w:val="24"/>
          <w:szCs w:val="24"/>
        </w:rPr>
      </w:pPr>
      <w:r>
        <w:rPr>
          <w:rFonts w:ascii="Times New Roman" w:hAnsi="Times New Roman"/>
          <w:b/>
          <w:sz w:val="24"/>
          <w:szCs w:val="24"/>
        </w:rPr>
        <w:t>Признание (прекращение признания) денежных средств осуществляется в следующем порядке</w:t>
      </w:r>
      <w:r>
        <w:rPr>
          <w:rFonts w:ascii="Times New Roman" w:hAnsi="Times New Roman"/>
          <w:sz w:val="24"/>
          <w:szCs w:val="24"/>
        </w:rPr>
        <w:t>:</w:t>
      </w:r>
    </w:p>
    <w:p w14:paraId="1004145C"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Денежные средства, в том числе иностранная валюта, на счетах и во вкладах в кредитных организациях признаются на дату:</w:t>
      </w:r>
    </w:p>
    <w:p w14:paraId="078DD44F"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фактического поступления на счета Фонда (в т.ч. расчетные, транзитные, валютные, депозитные), открытые Управляющей компанией для учета имущества Фонда в кредитных организациях,</w:t>
      </w:r>
      <w:r>
        <w:rPr>
          <w:rFonts w:ascii="Times New Roman" w:eastAsia="Batang" w:hAnsi="Times New Roman"/>
          <w:sz w:val="24"/>
          <w:szCs w:val="24"/>
        </w:rPr>
        <w:t xml:space="preserve"> </w:t>
      </w:r>
      <w:r>
        <w:rPr>
          <w:rFonts w:ascii="Times New Roman" w:hAnsi="Times New Roman"/>
          <w:sz w:val="24"/>
          <w:szCs w:val="24"/>
        </w:rPr>
        <w:t>на основании выписки с указанного счета;</w:t>
      </w:r>
    </w:p>
    <w:p w14:paraId="671687BB"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дату переуступки права требования о выплате вклада и начисленных процентах на основании договора;</w:t>
      </w:r>
    </w:p>
    <w:p w14:paraId="6661F124"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Датой прекращения признания денежных средств на счетах в кредитных организациях является: </w:t>
      </w:r>
    </w:p>
    <w:p w14:paraId="566CD49C"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 дата списания (перечисления) денежных средств со счета в кредитной организации (денежные средства, списанные со счета в кредитной организации в целях передачи профессиональному участнику рынка ценных бумаг или зачисления на другой счет Фонда в кредитной организации, в отношении которых на дату оценки не получен документ, подтверждающий поступление денежных средств, признаются в качестве дебиторской задолженности);                                                             </w:t>
      </w:r>
    </w:p>
    <w:p w14:paraId="2825390B"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дата решения Банка России об отзыве лицензии кредитной организации (денежные средства признаются в качестве дебиторской задолженности);</w:t>
      </w:r>
      <w:r>
        <w:rPr>
          <w:rFonts w:ascii="Times New Roman" w:eastAsia="Batang" w:hAnsi="Times New Roman"/>
          <w:sz w:val="24"/>
          <w:szCs w:val="24"/>
        </w:rPr>
        <w:t xml:space="preserve"> </w:t>
      </w:r>
    </w:p>
    <w:p w14:paraId="370A22B4"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lastRenderedPageBreak/>
        <w:t>- дата ликвидации банка согласно информации, раскрытой в официальном доступном источнике (в том числе записи в ЕГРЮЛ о ликвидации банка);</w:t>
      </w:r>
    </w:p>
    <w:p w14:paraId="1AE226B7" w14:textId="77777777" w:rsidR="000C1E0E" w:rsidRDefault="000C1E0E" w:rsidP="000C1E0E">
      <w:pPr>
        <w:pStyle w:val="12"/>
        <w:tabs>
          <w:tab w:val="left" w:pos="993"/>
        </w:tabs>
        <w:rPr>
          <w:szCs w:val="24"/>
        </w:rPr>
      </w:pPr>
      <w:r>
        <w:rPr>
          <w:szCs w:val="24"/>
        </w:rPr>
        <w:t>- дата фактической переуступки права требования о выплате вклада и начисленных процентах на основании договора.</w:t>
      </w:r>
    </w:p>
    <w:p w14:paraId="70F3ED5B" w14:textId="77777777" w:rsidR="000C1E0E" w:rsidRDefault="000C1E0E" w:rsidP="000C1E0E">
      <w:pPr>
        <w:widowControl w:val="0"/>
        <w:numPr>
          <w:ilvl w:val="1"/>
          <w:numId w:val="4"/>
        </w:numPr>
        <w:tabs>
          <w:tab w:val="left" w:pos="426"/>
        </w:tabs>
        <w:spacing w:before="60" w:after="100" w:line="240" w:lineRule="auto"/>
        <w:outlineLvl w:val="0"/>
        <w:rPr>
          <w:rFonts w:ascii="Times New Roman" w:hAnsi="Times New Roman"/>
          <w:sz w:val="24"/>
          <w:szCs w:val="24"/>
        </w:rPr>
      </w:pPr>
      <w:r>
        <w:rPr>
          <w:rFonts w:ascii="Times New Roman" w:hAnsi="Times New Roman"/>
          <w:b/>
          <w:sz w:val="24"/>
          <w:szCs w:val="24"/>
        </w:rPr>
        <w:t>Признание (прекращение признания) требования к кредитной организации выплатить денежный эквивалент драгоценных металлов осуществляется в следующем порядке</w:t>
      </w:r>
      <w:r>
        <w:rPr>
          <w:rFonts w:ascii="Times New Roman" w:hAnsi="Times New Roman"/>
          <w:sz w:val="24"/>
          <w:szCs w:val="24"/>
        </w:rPr>
        <w:t>:</w:t>
      </w:r>
    </w:p>
    <w:p w14:paraId="58E5A2B6"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Требования к кредитной организации выплатить денежный эквивалент драгоценных металлов признаются по дате перехода права собственности согласно выписке со счета кредитной организации о зачислении на металлический счет драгоценных металлов на основании договора. </w:t>
      </w:r>
    </w:p>
    <w:p w14:paraId="7C9FF41C"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Датой прекращения признания требования к кредитной организации выплатить денежный эквивалент драгоценных металлов является: </w:t>
      </w:r>
    </w:p>
    <w:p w14:paraId="1F64C7C4"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-дата списания с металлического счета драгоценных металлов в соответствии с условиями договора;</w:t>
      </w:r>
    </w:p>
    <w:p w14:paraId="78506BC3"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-дата решения Банка России об отзыве лицензии банка (денежный эквивалент драгоценных металлов переходит в статус прочей дебиторской задолженности);</w:t>
      </w:r>
    </w:p>
    <w:p w14:paraId="40431592"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-дата ликвидации кредитной организации, в которой открыт металлический счет, информация о которой раскрыта в официальном доступном источнике</w:t>
      </w:r>
      <w:r>
        <w:rPr>
          <w:rFonts w:ascii="Times New Roman" w:eastAsia="Batang" w:hAnsi="Times New Roman"/>
          <w:sz w:val="24"/>
          <w:szCs w:val="24"/>
        </w:rPr>
        <w:t>.</w:t>
      </w:r>
    </w:p>
    <w:p w14:paraId="689F53EF" w14:textId="77777777" w:rsidR="000C1E0E" w:rsidRDefault="000C1E0E" w:rsidP="000C1E0E">
      <w:pPr>
        <w:widowControl w:val="0"/>
        <w:numPr>
          <w:ilvl w:val="1"/>
          <w:numId w:val="4"/>
        </w:numPr>
        <w:tabs>
          <w:tab w:val="left" w:pos="426"/>
        </w:tabs>
        <w:spacing w:before="60" w:after="100" w:line="240" w:lineRule="auto"/>
        <w:outlineLvl w:val="0"/>
        <w:rPr>
          <w:rFonts w:ascii="Times New Roman" w:hAnsi="Times New Roman"/>
          <w:sz w:val="24"/>
          <w:szCs w:val="24"/>
        </w:rPr>
      </w:pPr>
      <w:r>
        <w:rPr>
          <w:rFonts w:ascii="Times New Roman" w:hAnsi="Times New Roman"/>
          <w:b/>
          <w:sz w:val="24"/>
          <w:szCs w:val="24"/>
        </w:rPr>
        <w:t>Признание (прекращение признания) дебиторской задолженности осуществляется в следующем порядке</w:t>
      </w:r>
      <w:r>
        <w:rPr>
          <w:rFonts w:ascii="Times New Roman" w:hAnsi="Times New Roman"/>
          <w:sz w:val="24"/>
          <w:szCs w:val="24"/>
        </w:rPr>
        <w:t>:</w:t>
      </w:r>
    </w:p>
    <w:p w14:paraId="4363E61E"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Дебиторская задолженность, возникшая в результате осуществления сделок с активами Фонда, признается как актив с момента передачи активов (денежных средств) лицу, в отношении которого возникает дебиторская задолженность.</w:t>
      </w:r>
    </w:p>
    <w:p w14:paraId="6A7FF51F"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Датой прекращения такой дебиторской задолженности является наиболее ранняя из дат:</w:t>
      </w:r>
    </w:p>
    <w:p w14:paraId="49EB9980"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дата исполнения обязательств перед Фондом;</w:t>
      </w:r>
    </w:p>
    <w:p w14:paraId="6E6CAB46"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дата ликвидации лица, в отношении которого в учете Фонда числится дебиторская задолженность, согласно выписке из ЕГРЮЛ.</w:t>
      </w:r>
    </w:p>
    <w:p w14:paraId="59F38C39"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Дебиторская задолженность, возникшая в результате расчетов по прочим операциям, а именно:</w:t>
      </w:r>
    </w:p>
    <w:p w14:paraId="6F5740D8"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дебиторская задолженность Управляющей компании перед Фондом;</w:t>
      </w:r>
    </w:p>
    <w:p w14:paraId="015F8C05"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авансы, выданные за счет имущества Фонда;</w:t>
      </w:r>
    </w:p>
    <w:p w14:paraId="498B3E5C" w14:textId="15BE26D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 дебиторская задолженность, возникшая по договорам с аудиторской организацией, специализированным депозитарием, лицом, осуществляющим ведение реестра; </w:t>
      </w:r>
    </w:p>
    <w:p w14:paraId="7DE41F25"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дебиторская задолженность по налогам, сборам, пошлинам в бюджеты всех уровней;</w:t>
      </w:r>
    </w:p>
    <w:p w14:paraId="338BBDF0"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-дебиторская задолженность по возмещению суммы налогов из бюджета Российской Федерации;</w:t>
      </w:r>
    </w:p>
    <w:p w14:paraId="13025E75"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 прочая дебиторская задолженность </w:t>
      </w:r>
    </w:p>
    <w:p w14:paraId="5CEE5FCE"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признается как актив с момента передачи денежных средств лицу, в отношении которого возникает дебиторская задолженность. </w:t>
      </w:r>
    </w:p>
    <w:p w14:paraId="3FDE4F9B" w14:textId="7040D95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Для дебиторской зад</w:t>
      </w:r>
      <w:r w:rsidR="00C375C8">
        <w:rPr>
          <w:rFonts w:ascii="Times New Roman" w:hAnsi="Times New Roman"/>
          <w:sz w:val="24"/>
          <w:szCs w:val="24"/>
        </w:rPr>
        <w:t xml:space="preserve">олженности по прочим операциям </w:t>
      </w:r>
      <w:r>
        <w:rPr>
          <w:rFonts w:ascii="Times New Roman" w:hAnsi="Times New Roman"/>
          <w:sz w:val="24"/>
          <w:szCs w:val="24"/>
        </w:rPr>
        <w:t>датой прекращения</w:t>
      </w:r>
      <w:r w:rsidR="00C375C8">
        <w:rPr>
          <w:rFonts w:ascii="Times New Roman" w:hAnsi="Times New Roman"/>
          <w:sz w:val="24"/>
          <w:szCs w:val="24"/>
        </w:rPr>
        <w:t xml:space="preserve"> </w:t>
      </w:r>
      <w:r>
        <w:rPr>
          <w:rFonts w:ascii="Times New Roman" w:hAnsi="Times New Roman"/>
          <w:sz w:val="24"/>
          <w:szCs w:val="24"/>
        </w:rPr>
        <w:lastRenderedPageBreak/>
        <w:t>признания  является наиболее ранняя из дат:</w:t>
      </w:r>
    </w:p>
    <w:p w14:paraId="4EA0CB1E"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дата исполнения обязательств перед Фондом;</w:t>
      </w:r>
    </w:p>
    <w:p w14:paraId="099D27A0"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дата ликвидации лица, в отношении которого в учете Фонда числится дебиторская задолженность, согласно выписке из ЕГРЮЛ;</w:t>
      </w:r>
    </w:p>
    <w:p w14:paraId="6D05E3EA"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Датой прекращения обязательств для дебиторской задолженности по возмещению суммы налогов из бюджета Российской Федерации является дата исполнения обязательства перед Фондом в соответствии с законодательством Российской Федерации. Дебиторская задолженность по процентному (купонному) доходу признается с момента признания актива, условиями выпуска (договора о размещении) которого предусмотрен процентный (купонный) доход.</w:t>
      </w:r>
    </w:p>
    <w:p w14:paraId="16056A18"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В случае, если проспектом ценных бумаг предусмотрен переменный купон, величина которого зависит от определенных показателей, и для ценной бумаги отсутствует активный рынок, то величина данного купона определяется в соответствии с Приложением №3 настоящих Правил.</w:t>
      </w:r>
    </w:p>
    <w:p w14:paraId="68C3C55A"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 Датой прекращения признания дебиторской задолженности по процентному (купонному) доходу в качестве актива является:</w:t>
      </w:r>
    </w:p>
    <w:p w14:paraId="3976F519" w14:textId="77777777" w:rsidR="000C1E0E" w:rsidRDefault="000C1E0E" w:rsidP="000C1E0E">
      <w:pPr>
        <w:tabs>
          <w:tab w:val="left" w:pos="426"/>
        </w:tabs>
        <w:spacing w:before="60" w:line="240" w:lineRule="auto"/>
        <w:ind w:left="709"/>
        <w:outlineLvl w:val="0"/>
        <w:rPr>
          <w:rFonts w:ascii="Times New Roman" w:hAnsi="Times New Roman"/>
          <w:sz w:val="24"/>
          <w:szCs w:val="24"/>
        </w:rPr>
      </w:pPr>
      <w:r>
        <w:rPr>
          <w:rFonts w:ascii="Times New Roman" w:hAnsi="Times New Roman"/>
          <w:sz w:val="24"/>
          <w:szCs w:val="24"/>
        </w:rPr>
        <w:t>-дата зачисления суммы процентного (купонного) дохода на расчетный счет, подтвержденная банковской выпиской с расчетного счета Фонда или отчетом брокера Фонда;</w:t>
      </w:r>
    </w:p>
    <w:p w14:paraId="23A58D09" w14:textId="77777777" w:rsidR="000C1E0E" w:rsidRDefault="000C1E0E" w:rsidP="000C1E0E">
      <w:pPr>
        <w:tabs>
          <w:tab w:val="left" w:pos="426"/>
        </w:tabs>
        <w:spacing w:before="60" w:line="240" w:lineRule="auto"/>
        <w:ind w:left="709"/>
        <w:outlineLvl w:val="0"/>
        <w:rPr>
          <w:rFonts w:ascii="Times New Roman" w:hAnsi="Times New Roman"/>
          <w:sz w:val="24"/>
          <w:szCs w:val="24"/>
        </w:rPr>
      </w:pPr>
      <w:r>
        <w:rPr>
          <w:rFonts w:ascii="Times New Roman" w:hAnsi="Times New Roman"/>
          <w:sz w:val="24"/>
          <w:szCs w:val="24"/>
        </w:rPr>
        <w:t>-дата прекращения признания ценной бумаги в связи с ее реализацией;</w:t>
      </w:r>
    </w:p>
    <w:p w14:paraId="21205AA7" w14:textId="77777777" w:rsidR="000C1E0E" w:rsidRDefault="000C1E0E" w:rsidP="000C1E0E">
      <w:pPr>
        <w:pStyle w:val="12"/>
        <w:tabs>
          <w:tab w:val="left" w:pos="993"/>
        </w:tabs>
        <w:rPr>
          <w:rFonts w:eastAsia="Batang"/>
          <w:szCs w:val="24"/>
        </w:rPr>
      </w:pPr>
      <w:r>
        <w:rPr>
          <w:rFonts w:eastAsia="Batang"/>
          <w:szCs w:val="24"/>
        </w:rPr>
        <w:t>-дата ликвидации эмитента, согласно выписке из ЕГРЮЛ (или выписки из соответствующего уполномоченного органа иностранного государства).</w:t>
      </w:r>
    </w:p>
    <w:p w14:paraId="71427DF9"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признания дебиторской задолженности по причитающимся к получению дивидендам по акциям, дохода по депозитарным распискам в отношении:</w:t>
      </w:r>
    </w:p>
    <w:p w14:paraId="1EE7BA56"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 акций/представляемых акций российских эмитентов является дата фиксации реестра акционеров для выплаты дивидендов (дата установления прав акционеров на получение выплаты) на основании информации от НКО АО НРД или информации, размещенной на официальном информационном ресурсе эмитента;  </w:t>
      </w:r>
    </w:p>
    <w:p w14:paraId="3AE438E7"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 акций/ представляемых акций иностранных эмитентов является </w:t>
      </w:r>
      <w:r>
        <w:rPr>
          <w:rFonts w:ascii="Times New Roman" w:eastAsia="Batang" w:hAnsi="Times New Roman"/>
          <w:sz w:val="24"/>
          <w:szCs w:val="24"/>
        </w:rPr>
        <w:t>в соответствии с информацией НКО АО НРД</w:t>
      </w:r>
      <w:r>
        <w:rPr>
          <w:rFonts w:ascii="Times New Roman" w:hAnsi="Times New Roman"/>
          <w:sz w:val="24"/>
          <w:szCs w:val="24"/>
        </w:rPr>
        <w:t xml:space="preserve"> дата, на которую определяются лица, имеющие право на получение дивидендов, или в соответствии с информационной системой "Блумберг"(Bloomberg), или других информационных источников - дата, после которой ценные бумаги начинают торговаться без учета объявленных дивидендов (DVD_EX_DT).</w:t>
      </w:r>
    </w:p>
    <w:p w14:paraId="6067D094"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В качестве источника информации используются информационные ресурсы НКО АО НРД, международной информационной группы «Интерфакс», информационная система "Блумберг" (Bloomberg), НФА и др. Критерием выбора является качество предоставляемой информации и удобство доступа к данным.</w:t>
      </w:r>
    </w:p>
    <w:p w14:paraId="09B9B5BB" w14:textId="77777777" w:rsidR="000C1E0E" w:rsidRDefault="000C1E0E" w:rsidP="000C1E0E">
      <w:pPr>
        <w:spacing w:before="60" w:after="100" w:line="240" w:lineRule="auto"/>
        <w:ind w:left="708"/>
        <w:rPr>
          <w:rFonts w:ascii="Times New Roman" w:hAnsi="Times New Roman"/>
          <w:sz w:val="24"/>
          <w:szCs w:val="24"/>
        </w:rPr>
      </w:pPr>
      <w:r>
        <w:rPr>
          <w:rFonts w:ascii="Times New Roman" w:hAnsi="Times New Roman"/>
          <w:sz w:val="24"/>
          <w:szCs w:val="24"/>
        </w:rPr>
        <w:t xml:space="preserve">При отсутствии информации из выше указанных источников (в том числе размера причитающихся выплат) датой признания дебиторской задолженности будет являться дата зачисления денежных средств на расчетный счет Управляющей компании Д.У. ПИФ (в том числе на счет брокера ПИФ). </w:t>
      </w:r>
    </w:p>
    <w:p w14:paraId="347D72FE"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Датой признания дебиторской задолженности по доходам инвестиционных паев ПИФ и паев (акций) иностранных инвестиционных фондов, паи которых входят в состав имущества ПИФ является дата возникновения обязательств по выплате дохода, указанная в сообщении о выплате дохода по инвестиционным паям ПИФ и </w:t>
      </w:r>
      <w:r>
        <w:rPr>
          <w:rFonts w:ascii="Times New Roman" w:hAnsi="Times New Roman"/>
          <w:sz w:val="24"/>
          <w:szCs w:val="24"/>
        </w:rPr>
        <w:lastRenderedPageBreak/>
        <w:t xml:space="preserve">паям (акциям) иностранных инвестиционных фондов, которые входят в состав имущества ПИФ, в соответствии с информацией НКО АО НРД или информацией о выплате дохода на официальном сайте управляющей компании/в официальном информировании владельцев инвестиционных паев о выплате дохода (для квалифицированных инвесторов); </w:t>
      </w:r>
    </w:p>
    <w:p w14:paraId="4BB14C9F"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 дата, после которой иностранные ценные бумаги начинают торговаться без учета объявленных дивидендов (DVD_EX_DT) в соответствии с информационной системой "Блумберг"(Bloomberg); </w:t>
      </w:r>
    </w:p>
    <w:p w14:paraId="6BD53B23"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дата определения выплаты дохода, согласно информации на официальном сайте управляющей компании/в официальном сообщении для владельцев инвестиционных паев о выплате дохода (для квалифицированных инвесторов);</w:t>
      </w:r>
    </w:p>
    <w:p w14:paraId="6E4AA393"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при отсутствии информации из выше указанных источников (в том числе размера причитающихся выплат) датой признания дебиторской задолженности будет являться дата зачисления денежных средств на расчетный счет Управляющей компании Д.У. ПИФ (в том числе на счет брокера ПИФ).</w:t>
      </w:r>
    </w:p>
    <w:p w14:paraId="407233F7"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Дебиторская задолженность, указанная в п. 2.19.3. и 2.19.5. Правил оценки СЧА, признается только в случае, если:</w:t>
      </w:r>
    </w:p>
    <w:p w14:paraId="7840646B" w14:textId="77777777" w:rsidR="000C1E0E" w:rsidRDefault="000C1E0E" w:rsidP="000C1E0E">
      <w:pPr>
        <w:tabs>
          <w:tab w:val="left" w:pos="426"/>
        </w:tabs>
        <w:spacing w:before="60" w:line="240" w:lineRule="auto"/>
        <w:ind w:left="709"/>
        <w:outlineLvl w:val="0"/>
        <w:rPr>
          <w:rFonts w:ascii="Times New Roman" w:hAnsi="Times New Roman"/>
          <w:sz w:val="24"/>
          <w:szCs w:val="24"/>
        </w:rPr>
      </w:pPr>
      <w:r>
        <w:rPr>
          <w:rFonts w:ascii="Times New Roman" w:hAnsi="Times New Roman"/>
          <w:sz w:val="24"/>
          <w:szCs w:val="24"/>
        </w:rPr>
        <w:t>-существует вероятность того, что экономические выгоды, связанные с причитающимся процентным (купонным) доходом или причитающимися дивидендами, поступят в Фонд.</w:t>
      </w:r>
    </w:p>
    <w:p w14:paraId="595946F8" w14:textId="77777777" w:rsidR="000C1E0E" w:rsidRDefault="000C1E0E" w:rsidP="000C1E0E">
      <w:pPr>
        <w:tabs>
          <w:tab w:val="left" w:pos="426"/>
        </w:tabs>
        <w:spacing w:before="60" w:line="240" w:lineRule="auto"/>
        <w:ind w:left="709"/>
        <w:outlineLvl w:val="0"/>
        <w:rPr>
          <w:rFonts w:ascii="Times New Roman" w:hAnsi="Times New Roman"/>
          <w:sz w:val="24"/>
          <w:szCs w:val="24"/>
        </w:rPr>
      </w:pPr>
      <w:r>
        <w:rPr>
          <w:rFonts w:ascii="Times New Roman" w:hAnsi="Times New Roman"/>
          <w:sz w:val="24"/>
          <w:szCs w:val="24"/>
        </w:rPr>
        <w:t>- сумма процентов (дивидендов) может быть надежно оценена.</w:t>
      </w:r>
    </w:p>
    <w:p w14:paraId="510479B9"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Сумма процентов может быть надежно оценена, если условиями договора (условиями выпуска ценных бумаг) установлена ставка процента и порядок ее расчета.</w:t>
      </w:r>
    </w:p>
    <w:p w14:paraId="33BEA20C"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Сумма дивидендов может быть надежно оценена, если в доступных информационных ресурсах раскрыта информация о размере дивидендов по акциям каждой категории (типа), форме их выплаты, порядке выплаты дивидендов в не денежной форме, дате, на которую определяются лица, имеющие право на получение дивидендов.</w:t>
      </w:r>
    </w:p>
    <w:p w14:paraId="335B7928"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дебиторской задолженности по выплате дивидендов в качестве актива является:</w:t>
      </w:r>
    </w:p>
    <w:p w14:paraId="5743C25B"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-дата исполнения  обязательств эмитентом, подтвержденной банковской выпиской с расчетного счета  Фонда или отчетом брокера Фонда;</w:t>
      </w:r>
    </w:p>
    <w:p w14:paraId="5D83FA31"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-дата ликвидации эмитента, согласно выписке из ЕГРЮЛ (или выписки из соответствующего уполномоченного органа иностранного государства). Дебиторская задолженность по доходам по инвестиционным паям паевых инвестиционных фондов и паев (акций) иностранных инвестиционных фондов, признается с даты возникновения обязательства по выплате дохода, указанной в сообщении о выплате дохода по инвестиционным паям паевых инвестиционных фондов и паям (акциям) иностранных инвестиционных фондов, которые входят в состав имущества Фонда, в соответствии с информацией НКО АО НРД или информации о выплате дохода на официальном сайте Управляющей компании. в официальном информировании владельцев инвестиционных паев о выплате дохода (для квалифицированных инвесторов).</w:t>
      </w:r>
    </w:p>
    <w:p w14:paraId="2B22218A"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дебиторской задолженности по доходам инвестиционных паев паевых инвестиционных фондов и паев (акций) иностранных инвестиционных фондов является:</w:t>
      </w:r>
    </w:p>
    <w:p w14:paraId="576D68A6" w14:textId="738B5E3F" w:rsidR="000C1E0E" w:rsidRDefault="00E06251"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-дата исполнения </w:t>
      </w:r>
      <w:r w:rsidR="000C1E0E">
        <w:rPr>
          <w:rFonts w:ascii="Times New Roman" w:hAnsi="Times New Roman"/>
          <w:sz w:val="24"/>
          <w:szCs w:val="24"/>
        </w:rPr>
        <w:t>обязательств Управляющей компанией, подтвержденной банковской выпиской с расчетного счета Фонда или отчетом брокера Фонда;</w:t>
      </w:r>
    </w:p>
    <w:p w14:paraId="1B548704"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дата ликвидации Управляющей компании (инвестиционного фонда (лица, выдавшего паи (выпустившего акции)), согласно выписке из ЕГРЮЛ (или выписки из соответствующего уполномоченного органа иностранного государства).</w:t>
      </w:r>
    </w:p>
    <w:p w14:paraId="14CC6EB6"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Дебиторская задолженность по денежным средствам, находящимся у профессиональных участников рынка ценных бумаг признается с даты зачисления денежных средств на специальный брокерский счет на основании отчета брокера. </w:t>
      </w:r>
    </w:p>
    <w:p w14:paraId="01BFEFD2"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дебиторской задолженности по денежным средствам, находящимся у профессиональных участников, является:</w:t>
      </w:r>
    </w:p>
    <w:p w14:paraId="3B600B81"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-дата исполнения брокером обязательств по перечислению денежных средств со специального брокерского счета;</w:t>
      </w:r>
    </w:p>
    <w:p w14:paraId="6EA620E4"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-дата решения Банка России об отзыве лицензии у брокера (денежные средства переходят в статус прочей дебиторской задолженности);</w:t>
      </w:r>
    </w:p>
    <w:p w14:paraId="7648B12D"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-дата ликвидации брокера согласно информации, раскрытой в официальном доступном источнике (в том числе записи в ЕГРЮЛ о ликвидации брокера). </w:t>
      </w:r>
    </w:p>
    <w:p w14:paraId="5DC21032" w14:textId="77777777" w:rsidR="000C1E0E" w:rsidRDefault="000C1E0E" w:rsidP="000C1E0E">
      <w:pPr>
        <w:widowControl w:val="0"/>
        <w:numPr>
          <w:ilvl w:val="2"/>
          <w:numId w:val="4"/>
        </w:numPr>
        <w:tabs>
          <w:tab w:val="left" w:pos="284"/>
          <w:tab w:val="left" w:pos="426"/>
          <w:tab w:val="left" w:pos="851"/>
        </w:tabs>
        <w:spacing w:before="60" w:after="100" w:line="240" w:lineRule="auto"/>
        <w:outlineLvl w:val="0"/>
        <w:rPr>
          <w:rFonts w:ascii="Times New Roman" w:hAnsi="Times New Roman"/>
          <w:sz w:val="24"/>
          <w:szCs w:val="24"/>
        </w:rPr>
      </w:pPr>
      <w:r>
        <w:rPr>
          <w:rFonts w:ascii="Times New Roman" w:hAnsi="Times New Roman"/>
          <w:sz w:val="24"/>
          <w:szCs w:val="24"/>
        </w:rPr>
        <w:t>Прекращение признания дебиторской задолженности может также осуществляться по иным законным основаниям (судебное решение и пр.).</w:t>
      </w:r>
    </w:p>
    <w:p w14:paraId="78F429F3" w14:textId="77777777" w:rsidR="000C1E0E" w:rsidRDefault="000C1E0E" w:rsidP="000C1E0E">
      <w:pPr>
        <w:widowControl w:val="0"/>
        <w:numPr>
          <w:ilvl w:val="2"/>
          <w:numId w:val="4"/>
        </w:numPr>
        <w:tabs>
          <w:tab w:val="left" w:pos="284"/>
          <w:tab w:val="left" w:pos="426"/>
          <w:tab w:val="left" w:pos="851"/>
        </w:tabs>
        <w:spacing w:before="60" w:after="100" w:line="240" w:lineRule="auto"/>
        <w:outlineLvl w:val="0"/>
        <w:rPr>
          <w:rFonts w:ascii="Times New Roman" w:hAnsi="Times New Roman"/>
          <w:sz w:val="24"/>
          <w:szCs w:val="24"/>
        </w:rPr>
      </w:pPr>
      <w:r>
        <w:rPr>
          <w:rFonts w:ascii="Times New Roman" w:hAnsi="Times New Roman"/>
          <w:sz w:val="24"/>
          <w:szCs w:val="24"/>
        </w:rPr>
        <w:t xml:space="preserve">Справедливая стоимость дебиторской задолженности, в случае необходимости, определяется с учетом корректировки на кредитное обесценение в соответствии с порядком, указанным в п.3.13 настоящих Правил. </w:t>
      </w:r>
    </w:p>
    <w:p w14:paraId="49FA3CAC" w14:textId="77777777" w:rsidR="000C1E0E" w:rsidRDefault="000C1E0E" w:rsidP="000C1E0E">
      <w:pPr>
        <w:widowControl w:val="0"/>
        <w:numPr>
          <w:ilvl w:val="1"/>
          <w:numId w:val="4"/>
        </w:numPr>
        <w:tabs>
          <w:tab w:val="left" w:pos="426"/>
        </w:tabs>
        <w:spacing w:before="60" w:after="100" w:line="240" w:lineRule="auto"/>
        <w:outlineLvl w:val="0"/>
        <w:rPr>
          <w:rFonts w:ascii="Times New Roman" w:hAnsi="Times New Roman"/>
          <w:sz w:val="24"/>
          <w:szCs w:val="24"/>
        </w:rPr>
      </w:pPr>
      <w:r>
        <w:rPr>
          <w:rFonts w:ascii="Times New Roman" w:hAnsi="Times New Roman"/>
          <w:b/>
          <w:sz w:val="24"/>
          <w:szCs w:val="24"/>
        </w:rPr>
        <w:t>Признание (прекращение признания) ценных бумаг, в том числе депозитных сертификатов, осуществляется в следующем порядке</w:t>
      </w:r>
      <w:r>
        <w:rPr>
          <w:rFonts w:ascii="Times New Roman" w:hAnsi="Times New Roman"/>
          <w:sz w:val="24"/>
          <w:szCs w:val="24"/>
        </w:rPr>
        <w:t xml:space="preserve">: </w:t>
      </w:r>
    </w:p>
    <w:p w14:paraId="1FF673D2" w14:textId="0BF8F86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Ценные бумаги, в том</w:t>
      </w:r>
      <w:r w:rsidR="00E06251">
        <w:rPr>
          <w:rFonts w:ascii="Times New Roman" w:hAnsi="Times New Roman"/>
          <w:sz w:val="24"/>
          <w:szCs w:val="24"/>
        </w:rPr>
        <w:t xml:space="preserve"> числе депозитные сертификаты, </w:t>
      </w:r>
      <w:r>
        <w:rPr>
          <w:rFonts w:ascii="Times New Roman" w:hAnsi="Times New Roman"/>
          <w:sz w:val="24"/>
          <w:szCs w:val="24"/>
        </w:rPr>
        <w:t>признаются как актив:</w:t>
      </w:r>
    </w:p>
    <w:p w14:paraId="4CC5F0E4" w14:textId="77777777" w:rsidR="000C1E0E" w:rsidRDefault="000C1E0E" w:rsidP="000C1E0E">
      <w:pPr>
        <w:pStyle w:val="12"/>
        <w:tabs>
          <w:tab w:val="left" w:pos="993"/>
        </w:tabs>
        <w:jc w:val="both"/>
        <w:rPr>
          <w:szCs w:val="24"/>
        </w:rPr>
      </w:pPr>
      <w:r>
        <w:rPr>
          <w:szCs w:val="24"/>
        </w:rPr>
        <w:t xml:space="preserve">     -по дате перехода прав собственности на ценные бумаги. Если ценная бумага подлежит учету на счете депо - дата зачисления ценной бумаги на счет депо, открытый Фонду в специализированном депозитарии, подтвержденная соответствующей выпиской по счету депо;</w:t>
      </w:r>
    </w:p>
    <w:p w14:paraId="60B73E1B" w14:textId="29C201FE" w:rsidR="000C1E0E" w:rsidRDefault="000C1E0E" w:rsidP="000C1E0E">
      <w:pPr>
        <w:pStyle w:val="12"/>
        <w:tabs>
          <w:tab w:val="left" w:pos="993"/>
        </w:tabs>
        <w:jc w:val="both"/>
        <w:rPr>
          <w:szCs w:val="24"/>
        </w:rPr>
      </w:pPr>
      <w:r>
        <w:rPr>
          <w:szCs w:val="24"/>
        </w:rPr>
        <w:t>-если документарные ценные бумаги не подлежат учету на счетах депо (за исключением депозитных сертификатов) - с даты приема ценной бумаги Фонда, определенной в соотв</w:t>
      </w:r>
      <w:r w:rsidR="00E06251">
        <w:rPr>
          <w:szCs w:val="24"/>
        </w:rPr>
        <w:t xml:space="preserve">етствии с условиями договора и </w:t>
      </w:r>
      <w:r>
        <w:rPr>
          <w:szCs w:val="24"/>
        </w:rPr>
        <w:t>подтвержденной актом приема передачи ценных бумаг;</w:t>
      </w:r>
    </w:p>
    <w:p w14:paraId="70D6857F" w14:textId="0A6C19A8" w:rsidR="000C1E0E" w:rsidRDefault="000C1E0E" w:rsidP="000C1E0E">
      <w:pPr>
        <w:pStyle w:val="12"/>
        <w:tabs>
          <w:tab w:val="left" w:pos="993"/>
        </w:tabs>
        <w:jc w:val="both"/>
        <w:rPr>
          <w:rFonts w:eastAsia="Batang"/>
          <w:szCs w:val="24"/>
        </w:rPr>
      </w:pPr>
      <w:r>
        <w:rPr>
          <w:rFonts w:eastAsia="Batang"/>
          <w:szCs w:val="24"/>
        </w:rPr>
        <w:t>-по депозитным сертификатам - дата зачисления во вклад (депозит) денежных средств, подтвержденная выпиской со счета по вкладу (депозиту) или с даты приобретения такого сертификата подтвержденной актом.</w:t>
      </w:r>
    </w:p>
    <w:p w14:paraId="70CC445B"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ценных бумаг, в том числе депозитных сертификатов, является:</w:t>
      </w:r>
    </w:p>
    <w:p w14:paraId="67675490" w14:textId="60453A5D" w:rsidR="000C1E0E" w:rsidRDefault="000C1E0E" w:rsidP="000C1E0E">
      <w:pPr>
        <w:pStyle w:val="12"/>
        <w:tabs>
          <w:tab w:val="left" w:pos="993"/>
        </w:tabs>
        <w:jc w:val="both"/>
        <w:rPr>
          <w:szCs w:val="24"/>
        </w:rPr>
      </w:pPr>
      <w:r>
        <w:rPr>
          <w:szCs w:val="24"/>
        </w:rPr>
        <w:t>-дата наступления срока погашения ценной бумаги, за исключением досрочного погашения, а в случае досрочного погашения ценной бумаги – с даты получения денежных средств в счет полного исполнения обязательств по досрочному погашению ценной бумаги;</w:t>
      </w:r>
    </w:p>
    <w:p w14:paraId="0223FBBF" w14:textId="56535F3D" w:rsidR="000C1E0E" w:rsidRDefault="000C1E0E" w:rsidP="000C1E0E">
      <w:pPr>
        <w:pStyle w:val="12"/>
        <w:tabs>
          <w:tab w:val="left" w:pos="993"/>
        </w:tabs>
        <w:jc w:val="both"/>
        <w:rPr>
          <w:szCs w:val="24"/>
        </w:rPr>
      </w:pPr>
      <w:r>
        <w:rPr>
          <w:szCs w:val="24"/>
        </w:rPr>
        <w:t>-дата перехода прав собственности на ценные бумаги. Если ценная бумага, подлежит учету на счете депо - дата списания ценной бумаги со сче</w:t>
      </w:r>
      <w:r w:rsidR="00E06251">
        <w:rPr>
          <w:szCs w:val="24"/>
        </w:rPr>
        <w:t xml:space="preserve">та депо, открытого  Управляющей </w:t>
      </w:r>
      <w:r>
        <w:rPr>
          <w:szCs w:val="24"/>
        </w:rPr>
        <w:t>компании Фонда в специализированном депозитарии, подтвержденная соответствующей выпиской по счету депо;</w:t>
      </w:r>
    </w:p>
    <w:p w14:paraId="397D8349" w14:textId="0CABDF52" w:rsidR="000C1E0E" w:rsidRDefault="000C1E0E" w:rsidP="000C1E0E">
      <w:pPr>
        <w:pStyle w:val="12"/>
        <w:tabs>
          <w:tab w:val="left" w:pos="993"/>
        </w:tabs>
        <w:jc w:val="both"/>
        <w:rPr>
          <w:rFonts w:eastAsia="Batang"/>
          <w:szCs w:val="24"/>
        </w:rPr>
      </w:pPr>
      <w:r>
        <w:rPr>
          <w:rFonts w:eastAsia="Batang"/>
          <w:szCs w:val="24"/>
        </w:rPr>
        <w:t>- если документарные ценные бумаги не подлежат учету на счетах депо (за исключением депозитных сертификатов) - с даты передачи ценной бумаги Фонда, определенной в соответствии с условиями договора и подтвержденной актом приема передачи ценных бумаг;</w:t>
      </w:r>
    </w:p>
    <w:p w14:paraId="1F226A81" w14:textId="77777777" w:rsidR="000C1E0E" w:rsidRDefault="000C1E0E" w:rsidP="000C1E0E">
      <w:pPr>
        <w:pStyle w:val="12"/>
        <w:tabs>
          <w:tab w:val="left" w:pos="993"/>
        </w:tabs>
        <w:jc w:val="both"/>
        <w:rPr>
          <w:szCs w:val="24"/>
        </w:rPr>
      </w:pPr>
      <w:r>
        <w:rPr>
          <w:szCs w:val="24"/>
        </w:rPr>
        <w:t xml:space="preserve"> - по депозитным сертификатам – дата списания с вклада (депозита) денежных средств, подтвержденная выпиской со счета по вкладу (депозиту), или с даты списания такого сертификата, подтвержденной актом;</w:t>
      </w:r>
    </w:p>
    <w:p w14:paraId="065C9F53" w14:textId="6A86B1F8" w:rsidR="000C1E0E" w:rsidRDefault="000C1E0E" w:rsidP="000C1E0E">
      <w:pPr>
        <w:pStyle w:val="12"/>
        <w:tabs>
          <w:tab w:val="left" w:pos="993"/>
        </w:tabs>
        <w:jc w:val="both"/>
        <w:rPr>
          <w:rFonts w:eastAsia="Batang"/>
          <w:szCs w:val="24"/>
        </w:rPr>
      </w:pPr>
      <w:r>
        <w:rPr>
          <w:rFonts w:eastAsia="Batang"/>
          <w:szCs w:val="24"/>
        </w:rPr>
        <w:t>- если по эмитенту ценных бумаг внесена запись в ЕГРЮЛ о ликвидации - с даты записи о ликвидации эмитента (получения информации о ликвидации эмитента).</w:t>
      </w:r>
    </w:p>
    <w:p w14:paraId="2A58D911" w14:textId="77777777" w:rsidR="000C1E0E" w:rsidRDefault="000C1E0E" w:rsidP="000C1E0E">
      <w:pPr>
        <w:pStyle w:val="12"/>
        <w:tabs>
          <w:tab w:val="left" w:pos="993"/>
        </w:tabs>
        <w:jc w:val="both"/>
        <w:rPr>
          <w:rFonts w:eastAsia="Batang"/>
          <w:szCs w:val="24"/>
        </w:rPr>
      </w:pPr>
    </w:p>
    <w:p w14:paraId="2D8C3792" w14:textId="77777777" w:rsidR="000C1E0E" w:rsidRDefault="000C1E0E" w:rsidP="000C1E0E">
      <w:pPr>
        <w:widowControl w:val="0"/>
        <w:numPr>
          <w:ilvl w:val="1"/>
          <w:numId w:val="4"/>
        </w:numPr>
        <w:tabs>
          <w:tab w:val="left" w:pos="426"/>
        </w:tabs>
        <w:spacing w:before="60" w:after="100" w:line="240" w:lineRule="auto"/>
        <w:outlineLvl w:val="0"/>
        <w:rPr>
          <w:rFonts w:ascii="Times New Roman" w:hAnsi="Times New Roman"/>
          <w:b/>
          <w:sz w:val="24"/>
          <w:szCs w:val="24"/>
        </w:rPr>
      </w:pPr>
      <w:r>
        <w:rPr>
          <w:rFonts w:ascii="Times New Roman" w:hAnsi="Times New Roman"/>
          <w:b/>
          <w:sz w:val="24"/>
          <w:szCs w:val="24"/>
        </w:rPr>
        <w:t>Признание (прекращение признания) задолженности по сделкам с ценными бумагами и валютой, заключенными на условиях Т+</w:t>
      </w:r>
    </w:p>
    <w:p w14:paraId="773CA012" w14:textId="4913B010"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признания задолженности по сделкам с ценными бумагами, заключенным на условиях Т+ является дата заключения договора</w:t>
      </w:r>
      <w:r w:rsidR="00E06251">
        <w:rPr>
          <w:rFonts w:ascii="Times New Roman" w:hAnsi="Times New Roman"/>
          <w:sz w:val="24"/>
          <w:szCs w:val="24"/>
        </w:rPr>
        <w:t xml:space="preserve"> по </w:t>
      </w:r>
      <w:r>
        <w:rPr>
          <w:rFonts w:ascii="Times New Roman" w:hAnsi="Times New Roman"/>
          <w:sz w:val="24"/>
          <w:szCs w:val="24"/>
        </w:rPr>
        <w:t>приобретению (реализации) ценных бумаг.</w:t>
      </w:r>
    </w:p>
    <w:p w14:paraId="6BD5D00B"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задолженности по сделкам с ценными бумагами, заключенным на условиях Т+ является дата перехода прав собственности на ценные бумаги   подтвержденная выпиской по счету депо.</w:t>
      </w:r>
    </w:p>
    <w:p w14:paraId="049B196E" w14:textId="116E1F88"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признания задолженности по сделкам с валютой, заключенным на условиях Т+ явл</w:t>
      </w:r>
      <w:r w:rsidR="00E06251">
        <w:rPr>
          <w:rFonts w:ascii="Times New Roman" w:hAnsi="Times New Roman"/>
          <w:sz w:val="24"/>
          <w:szCs w:val="24"/>
        </w:rPr>
        <w:t>яется дата заключения договора </w:t>
      </w:r>
      <w:r>
        <w:rPr>
          <w:rFonts w:ascii="Times New Roman" w:hAnsi="Times New Roman"/>
          <w:sz w:val="24"/>
          <w:szCs w:val="24"/>
        </w:rPr>
        <w:t>по покупке/продаже валюты</w:t>
      </w:r>
    </w:p>
    <w:p w14:paraId="4D2B45EF"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Датой прекращения признания задолженности по сделкам с валютой, заключенным на условиях Т+ является </w:t>
      </w:r>
      <w:r>
        <w:rPr>
          <w:rFonts w:eastAsia="Batang"/>
          <w:sz w:val="22"/>
          <w:szCs w:val="22"/>
        </w:rPr>
        <w:t>дата перехода прав собственности на валюту на основании выписки со счета открытого на Управляющую компанию Д.У. ПИФ/брокерского отчета.</w:t>
      </w:r>
    </w:p>
    <w:p w14:paraId="1026CBC7" w14:textId="77777777" w:rsidR="000C1E0E" w:rsidRDefault="000C1E0E" w:rsidP="000C1E0E">
      <w:pPr>
        <w:pStyle w:val="12"/>
        <w:tabs>
          <w:tab w:val="left" w:pos="993"/>
        </w:tabs>
        <w:jc w:val="both"/>
        <w:rPr>
          <w:rFonts w:eastAsia="Batang"/>
          <w:szCs w:val="24"/>
        </w:rPr>
      </w:pPr>
    </w:p>
    <w:p w14:paraId="3B643EA0" w14:textId="77777777" w:rsidR="000C1E0E" w:rsidRDefault="000C1E0E" w:rsidP="000C1E0E">
      <w:pPr>
        <w:widowControl w:val="0"/>
        <w:numPr>
          <w:ilvl w:val="1"/>
          <w:numId w:val="4"/>
        </w:numPr>
        <w:tabs>
          <w:tab w:val="left" w:pos="426"/>
        </w:tabs>
        <w:spacing w:before="60" w:after="100" w:line="240" w:lineRule="auto"/>
        <w:outlineLvl w:val="0"/>
        <w:rPr>
          <w:rFonts w:ascii="Times New Roman" w:hAnsi="Times New Roman"/>
          <w:sz w:val="24"/>
          <w:szCs w:val="24"/>
        </w:rPr>
      </w:pPr>
      <w:r>
        <w:rPr>
          <w:rFonts w:ascii="Times New Roman" w:hAnsi="Times New Roman"/>
          <w:b/>
          <w:sz w:val="24"/>
          <w:szCs w:val="24"/>
        </w:rPr>
        <w:t>Признание (прекращение признания) обязательств осуществляется в следующем порядке</w:t>
      </w:r>
      <w:r>
        <w:rPr>
          <w:rFonts w:ascii="Times New Roman" w:hAnsi="Times New Roman"/>
          <w:sz w:val="24"/>
          <w:szCs w:val="24"/>
        </w:rPr>
        <w:t>:</w:t>
      </w:r>
    </w:p>
    <w:p w14:paraId="0FC355D9"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Обязательства в виде кредиторской задолженности по выдаче инвестиционных паев признаются со дня включения денежных средств (иного имущества), переданных в оплату инвестиционных паев, в имущество Фонда.</w:t>
      </w:r>
    </w:p>
    <w:p w14:paraId="53C11184"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кредиторской задолженности по выдаче инвестиционных паев признается дата внесения приходной записи о выдаче инвестиционных паев в реестр Фонда согласно отчету лица, осуществляющего ведение реестра.</w:t>
      </w:r>
    </w:p>
    <w:p w14:paraId="30C9CAD2"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Обязательства по выплате денежной компенсации при погашении инвестиционных паев Фонда (перечислении денежных средств при обмене паев) признаются со дня осуществления расходной записи о погашении (списании при обмене) в реестре инвестиционных паев Фонда согласно отчета лица, осуществляющего ведение реестра.</w:t>
      </w:r>
    </w:p>
    <w:p w14:paraId="4876BA46"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обязательства по выплате денежной компенсации при погашении инвестиционных паев Фонда (перечислении денежных средств при обмене паев) признается дата выплаты (перечисления по обмену) суммы денежной компенсации за инвестиционные паи согласно банковской выписке Фонда.</w:t>
      </w:r>
    </w:p>
    <w:p w14:paraId="0DD4DD0F" w14:textId="4F09F81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Обязательства в виде кредиторской задолженности по вы</w:t>
      </w:r>
      <w:r w:rsidR="00E06251">
        <w:rPr>
          <w:rFonts w:ascii="Times New Roman" w:hAnsi="Times New Roman"/>
          <w:sz w:val="24"/>
          <w:szCs w:val="24"/>
        </w:rPr>
        <w:t xml:space="preserve">даче инвестиционных паев Фонда </w:t>
      </w:r>
      <w:r>
        <w:rPr>
          <w:rFonts w:ascii="Times New Roman" w:hAnsi="Times New Roman"/>
          <w:sz w:val="24"/>
          <w:szCs w:val="24"/>
        </w:rPr>
        <w:t>при обмене  признаются  с даты зачисления в Фонд имущества, поступившего в оплату обмена паев. Датой прекращения признания кредиторской задолженности по выдаче инвестиционных паев Фонда при обмене является дата внесения приходной записи о выдаче инвестиционных паев в реестр Фонда при обмене согласно отчету лица, осуществляющего ведение реестра.</w:t>
      </w:r>
    </w:p>
    <w:p w14:paraId="3A3142D2" w14:textId="3DA24458"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Обязательства по возмещению за счет имущества, составляющего Фонд, собственных денежных средств Управляющей компании Фонда, использованных ею для обмена паев Фонда либо выплаты денежной компенсации в связи с погашением инвестиционных паев обязательство признается со дня получения от Управляющей компании денежных средств согласно банковской выписке.</w:t>
      </w:r>
    </w:p>
    <w:p w14:paraId="0EDD38E0"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Датой прекращения обязательств по возмещению за счет имущества, составляющего Фонд, собственных денежных средств Управляющей компании Фонда является дата возврата суммы задолженности Управляющей компании согласно банковской выписке. </w:t>
      </w:r>
    </w:p>
    <w:p w14:paraId="57DBA0E5"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 Обязательства по выплате вознаграждения Управляющей компании, специализированному депозитарию, лицу, осуществляющему ведение реестра владельцев инвестиционных паев Фонда, признаются в последний рабочий день календарного месяца в размере, определенном в соответствии с условиями договора или в соответствии с Правилами ДУ ПИФ. В случае, если нельзя определить размер обязательства из условий договора - со дня получения Управляющей компанией счета на оплату оказанных услуг (со дня получения подписанного акта выполненных работ (оказанных услуг).</w:t>
      </w:r>
    </w:p>
    <w:p w14:paraId="1FB861E3"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При прекращении договора между Управляющей компанией, специализированным депозитарием, лицом, осуществляющим ведение реестра владельцев инвестиционных паев Фонда, аудитором, при передаче прав и обязанностей другой управляющей компании, при обмене всех инвестиционных паев по решению Управляющей компании, обязательства по выплате вознаграждений указанным лицам признаются в соответствии с условиями договоров (соглашений) и Правилами ДУ ПИФ.  </w:t>
      </w:r>
    </w:p>
    <w:p w14:paraId="7F8FFC21"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Обязательства по выплате вознаграждения аудитору, признаются со дня получения Управляющей компанией подписанного акта выполненных работ (оказанных услуг). Обязательства по оплате прочих расходов, осуществляемых за счет имущества Фонда в соответствии с требованиями действующего законодательства, признаются со дня получения счета на оплату оказанных услуг или подписанного акта выполненных работ (оказанных услуг).</w:t>
      </w:r>
    </w:p>
    <w:p w14:paraId="51C886CE"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указанных в п. 2.17.8 обязательств является дата перечисления суммы вознаграждений и расходов с расчетного счета Фонда согласно банковской выписке.</w:t>
      </w:r>
    </w:p>
    <w:p w14:paraId="14E8809A"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Обязательства по уплате сумм скидок (надбавок) агентам по выдаче, погашению и обмену инвестиционных паев, а также Управляющей компании Фонда, признаются со дня осуществления операции выдачи и (или) погашения паев в реестре инвестиционных паев Фонда по заявке. Датой прекращения таких обязательств является дата перечисления суммы скидок/надбавок с расчетного счета Фонда согласно банковской выписке.</w:t>
      </w:r>
    </w:p>
    <w:p w14:paraId="369A5FC6"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Резерв на выплату вознаграждений, определенный исходя из размера вознаграждения, предусмотренного Правилами доверительного управления Фондом, признается нарастающим итогом в течение календарного года и отражается в составе обязательств Фонда на каждую дату определения СЧА предусмотренную настоящими Правилами определения СЧА. </w:t>
      </w:r>
    </w:p>
    <w:p w14:paraId="5B5901E0"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обязательств по резерву на выплату вознаграждения является:</w:t>
      </w:r>
    </w:p>
    <w:p w14:paraId="00A9CB24"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-дата полного использования резерва на выплату вознаграждения;</w:t>
      </w:r>
    </w:p>
    <w:p w14:paraId="0CE2D29D" w14:textId="77777777" w:rsidR="000C1E0E" w:rsidRDefault="000C1E0E" w:rsidP="000C1E0E">
      <w:pPr>
        <w:widowControl w:val="0"/>
        <w:tabs>
          <w:tab w:val="left" w:pos="426"/>
        </w:tabs>
        <w:spacing w:before="60" w:after="100" w:line="240" w:lineRule="auto"/>
        <w:ind w:left="720"/>
        <w:outlineLvl w:val="0"/>
        <w:rPr>
          <w:rFonts w:ascii="Times New Roman" w:hAnsi="Times New Roman"/>
          <w:bCs/>
          <w:kern w:val="32"/>
          <w:sz w:val="24"/>
          <w:szCs w:val="24"/>
        </w:rPr>
      </w:pPr>
      <w:r>
        <w:rPr>
          <w:rFonts w:ascii="Times New Roman" w:hAnsi="Times New Roman"/>
          <w:sz w:val="24"/>
          <w:szCs w:val="24"/>
        </w:rPr>
        <w:t xml:space="preserve">–дата по окончании отчетного года, на которую происходит восстановление неизрасходованного в течение отчетного года резерва. </w:t>
      </w:r>
      <w:r>
        <w:rPr>
          <w:rFonts w:ascii="Times New Roman" w:hAnsi="Times New Roman"/>
          <w:bCs/>
          <w:kern w:val="32"/>
          <w:sz w:val="24"/>
          <w:szCs w:val="24"/>
        </w:rPr>
        <w:t xml:space="preserve"> </w:t>
      </w:r>
    </w:p>
    <w:p w14:paraId="74B67CCB" w14:textId="77777777" w:rsidR="000C1E0E" w:rsidRDefault="000C1E0E" w:rsidP="000C1E0E">
      <w:pPr>
        <w:widowControl w:val="0"/>
        <w:numPr>
          <w:ilvl w:val="0"/>
          <w:numId w:val="4"/>
        </w:numPr>
        <w:spacing w:before="240" w:after="60" w:line="240" w:lineRule="auto"/>
        <w:outlineLvl w:val="0"/>
        <w:rPr>
          <w:rFonts w:ascii="Times New Roman" w:hAnsi="Times New Roman"/>
          <w:b/>
          <w:bCs/>
          <w:kern w:val="32"/>
          <w:sz w:val="24"/>
          <w:szCs w:val="24"/>
        </w:rPr>
      </w:pPr>
      <w:r>
        <w:rPr>
          <w:rFonts w:ascii="Times New Roman" w:hAnsi="Times New Roman"/>
          <w:b/>
          <w:bCs/>
          <w:kern w:val="32"/>
          <w:sz w:val="24"/>
          <w:szCs w:val="24"/>
        </w:rPr>
        <w:t>МЕТОДЫ ОПРЕДЕЛЕНИЯ СТОИМОСТИ АКТИВОВ И ВЕЛИЧИН ОБЯЗАТЕЛЬСТВ, В ТОМ ЧИСЛЕ ОПИСАНИЕ ИСТОЧНИКОВ ДАННЫХ ДЛЯ ОПРЕДЕЛЕНИЯ СТОИМОСТИ АКТИВОВ (ВЕЛИЧИНЫ ОБЯЗАТЕЛЬСТВ), ПОРЯДКА ИХ ВЫБОРА, ПОРЯДКА КОНВЕРТАЦИИ ВЕЛИЧИН СТОИМОСТЕЙ, ВЫРАЖЕННЫХ В ОДНОЙ ВАЛЮТЕ, В ДРУГУЮ ВАЛЮТУ, ПОРЯДКА ПРИЗНАНИЯ РЫНКОВ АКТИВОВ И ОБЯЗАТЕЛЬСТВ АКТИВНЫМИ, КРИТЕРИИ ВЫБОРА СПОСОБОВ И МОДЕЛЕЙ ОЦЕНКИ СТОИМОСТИ В ЗАВИСИМОСТИ ОТ ВИДОВ АКТИВОВ И ОБЯЗАТЕЛЬСТВ, А ТАКЖЕ ПЕРЕЧЕНЬ АКТИВОВ, ПОДЛЕЖАЩИХ ОЦЕНКЕ ОЦЕНЩИКОМ, И ПЕРИОДИЧНОСТЬ ПРОВЕДЕНИЯ ТАКОЙ ОЦЕНКИ</w:t>
      </w:r>
    </w:p>
    <w:p w14:paraId="17DE6016" w14:textId="77777777" w:rsidR="000C1E0E" w:rsidRDefault="000C1E0E" w:rsidP="000C1E0E">
      <w:pPr>
        <w:widowControl w:val="0"/>
        <w:numPr>
          <w:ilvl w:val="1"/>
          <w:numId w:val="4"/>
        </w:numPr>
        <w:spacing w:before="60" w:after="60" w:line="240" w:lineRule="auto"/>
        <w:outlineLvl w:val="1"/>
        <w:rPr>
          <w:rFonts w:ascii="Times New Roman" w:hAnsi="Times New Roman"/>
          <w:sz w:val="24"/>
          <w:szCs w:val="24"/>
        </w:rPr>
      </w:pPr>
      <w:r>
        <w:rPr>
          <w:rFonts w:ascii="Times New Roman" w:hAnsi="Times New Roman"/>
          <w:sz w:val="24"/>
          <w:szCs w:val="24"/>
        </w:rPr>
        <w:t>Стоимость активов и величина обязательств определяются по справедливой стоимости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4918F01A" w14:textId="77777777" w:rsidR="000C1E0E" w:rsidRDefault="000C1E0E" w:rsidP="000C1E0E">
      <w:pPr>
        <w:widowControl w:val="0"/>
        <w:numPr>
          <w:ilvl w:val="1"/>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Справедливая стоимость – это цена, которая может быть получена при продаже актива или уплачена при передаче обязательства при проведении операции на добровольной основе на основном (или наиболее выгодном) рынке на дату оценки в текущих рыночных условиях.</w:t>
      </w:r>
    </w:p>
    <w:p w14:paraId="5CBFF38E" w14:textId="77777777" w:rsidR="000C1E0E" w:rsidRDefault="000C1E0E" w:rsidP="000C1E0E">
      <w:pPr>
        <w:widowControl w:val="0"/>
        <w:numPr>
          <w:ilvl w:val="1"/>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Справедливая стоимость актива определяется без учета затрат по сделке и налогов, включенных в стоимость сделки.</w:t>
      </w:r>
    </w:p>
    <w:p w14:paraId="4AEF6DD2" w14:textId="77777777" w:rsidR="000C1E0E" w:rsidRDefault="000C1E0E" w:rsidP="000C1E0E">
      <w:pPr>
        <w:widowControl w:val="0"/>
        <w:numPr>
          <w:ilvl w:val="1"/>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Справедливая стоимость может быть достоверно определена при следующих условиях:</w:t>
      </w:r>
    </w:p>
    <w:p w14:paraId="5E54E5F5" w14:textId="77777777" w:rsidR="000C1E0E" w:rsidRDefault="000C1E0E" w:rsidP="000C1E0E">
      <w:pPr>
        <w:spacing w:before="60" w:after="60" w:line="240" w:lineRule="auto"/>
        <w:ind w:left="709"/>
        <w:outlineLvl w:val="1"/>
        <w:rPr>
          <w:rFonts w:ascii="Times New Roman" w:hAnsi="Times New Roman"/>
          <w:sz w:val="24"/>
          <w:szCs w:val="24"/>
        </w:rPr>
      </w:pPr>
      <w:r>
        <w:rPr>
          <w:rFonts w:ascii="Times New Roman" w:hAnsi="Times New Roman"/>
          <w:sz w:val="24"/>
          <w:szCs w:val="24"/>
        </w:rPr>
        <w:t>- котировка финансового инструмента публикуется на основном или наиболее выгодном рынке данного инструмента;</w:t>
      </w:r>
    </w:p>
    <w:p w14:paraId="7A06CB95" w14:textId="77777777" w:rsidR="000C1E0E" w:rsidRDefault="000C1E0E" w:rsidP="000C1E0E">
      <w:pPr>
        <w:spacing w:before="60" w:after="60" w:line="240" w:lineRule="auto"/>
        <w:ind w:left="709"/>
        <w:outlineLvl w:val="1"/>
        <w:rPr>
          <w:rFonts w:ascii="Times New Roman" w:hAnsi="Times New Roman"/>
          <w:sz w:val="24"/>
          <w:szCs w:val="24"/>
        </w:rPr>
      </w:pPr>
      <w:r>
        <w:rPr>
          <w:rFonts w:ascii="Times New Roman" w:hAnsi="Times New Roman"/>
          <w:sz w:val="24"/>
          <w:szCs w:val="24"/>
        </w:rPr>
        <w:t>- денежные потоки в отношении долгового инструмента можно обоснованно рассчитать;</w:t>
      </w:r>
    </w:p>
    <w:p w14:paraId="71BCFC53" w14:textId="77777777" w:rsidR="000C1E0E" w:rsidRDefault="000C1E0E" w:rsidP="000C1E0E">
      <w:pPr>
        <w:spacing w:before="60" w:after="60" w:line="240" w:lineRule="auto"/>
        <w:ind w:left="709"/>
        <w:outlineLvl w:val="1"/>
        <w:rPr>
          <w:rFonts w:ascii="Times New Roman" w:hAnsi="Times New Roman"/>
          <w:sz w:val="24"/>
          <w:szCs w:val="24"/>
        </w:rPr>
      </w:pPr>
      <w:r>
        <w:rPr>
          <w:rFonts w:ascii="Times New Roman" w:hAnsi="Times New Roman"/>
          <w:sz w:val="24"/>
          <w:szCs w:val="24"/>
        </w:rPr>
        <w:t>- существует модель оценки, исходные данные для которой можно оценить достоверно.</w:t>
      </w:r>
    </w:p>
    <w:p w14:paraId="7A28FD40" w14:textId="77777777" w:rsidR="000C1E0E" w:rsidRDefault="000C1E0E" w:rsidP="000C1E0E">
      <w:pPr>
        <w:widowControl w:val="0"/>
        <w:numPr>
          <w:ilvl w:val="1"/>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Активный рынок -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 обязательств на постоянной основе. </w:t>
      </w:r>
    </w:p>
    <w:p w14:paraId="11887F42" w14:textId="77777777" w:rsidR="000C1E0E" w:rsidRDefault="000C1E0E" w:rsidP="000C1E0E">
      <w:pPr>
        <w:widowControl w:val="0"/>
        <w:numPr>
          <w:ilvl w:val="1"/>
          <w:numId w:val="4"/>
        </w:numPr>
        <w:spacing w:before="60" w:after="60" w:line="240" w:lineRule="auto"/>
        <w:outlineLvl w:val="1"/>
        <w:rPr>
          <w:rFonts w:ascii="Times New Roman" w:hAnsi="Times New Roman"/>
          <w:sz w:val="24"/>
          <w:szCs w:val="24"/>
        </w:rPr>
      </w:pPr>
      <w:r>
        <w:rPr>
          <w:rFonts w:ascii="Times New Roman" w:hAnsi="Times New Roman"/>
          <w:sz w:val="24"/>
          <w:szCs w:val="24"/>
        </w:rPr>
        <w:t>Основной рынок – рынок (из числа активных) с наибольшим для соответствующего актива или обязательства объемом торгов и уровнем активности. Рынок, на котором Управляющая компания вступила бы в сделку по продаже актива или передаче обязательства, считается основным рынком или, при отсутствии основного рынка, наиболее выгодным рынком.</w:t>
      </w:r>
    </w:p>
    <w:p w14:paraId="3C86B5F5"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Критерии выбора активного рынка.</w:t>
      </w:r>
    </w:p>
    <w:p w14:paraId="16FF4D93"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Активным рынком для ценных бумаг, допущенных к торгам на российской или иностранной бирже, (за исключением облигаций внешних облигационных займов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признается доступная и наблюдаемая биржевая площадка из списка, установленного п. 3.7.2. настоящих Правил определения СЧА, в случае наличия цены на дату определения справедливой стоимости </w:t>
      </w:r>
      <w:r>
        <w:rPr>
          <w:rFonts w:eastAsia="Batang"/>
          <w:sz w:val="24"/>
          <w:szCs w:val="24"/>
        </w:rPr>
        <w:t xml:space="preserve">(в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 </w:t>
      </w:r>
      <w:r>
        <w:rPr>
          <w:rFonts w:ascii="Times New Roman" w:hAnsi="Times New Roman"/>
          <w:sz w:val="24"/>
          <w:szCs w:val="24"/>
        </w:rPr>
        <w:t xml:space="preserve">и соответствия одновременно следующим критериям на дату определения СЧА: </w:t>
      </w:r>
    </w:p>
    <w:p w14:paraId="5B4FC483" w14:textId="77777777" w:rsidR="000C1E0E" w:rsidRDefault="000C1E0E" w:rsidP="000C1E0E">
      <w:pPr>
        <w:spacing w:before="60" w:after="60" w:line="240" w:lineRule="auto"/>
        <w:ind w:left="709"/>
        <w:outlineLvl w:val="1"/>
        <w:rPr>
          <w:rFonts w:ascii="Times New Roman" w:hAnsi="Times New Roman"/>
          <w:sz w:val="24"/>
          <w:szCs w:val="24"/>
        </w:rPr>
      </w:pPr>
      <w:r>
        <w:rPr>
          <w:rFonts w:ascii="Times New Roman" w:hAnsi="Times New Roman"/>
          <w:sz w:val="24"/>
          <w:szCs w:val="24"/>
        </w:rPr>
        <w:t>- количество сделок за последние 10 торговых дней - 10 и более;</w:t>
      </w:r>
    </w:p>
    <w:p w14:paraId="1E32B3B4" w14:textId="77777777" w:rsidR="000C1E0E" w:rsidRDefault="000C1E0E" w:rsidP="000C1E0E">
      <w:pPr>
        <w:spacing w:before="60" w:after="60" w:line="240" w:lineRule="auto"/>
        <w:ind w:left="709"/>
        <w:outlineLvl w:val="1"/>
        <w:rPr>
          <w:rFonts w:ascii="Times New Roman" w:hAnsi="Times New Roman"/>
          <w:sz w:val="24"/>
          <w:szCs w:val="24"/>
        </w:rPr>
      </w:pPr>
      <w:r>
        <w:rPr>
          <w:rFonts w:ascii="Times New Roman" w:hAnsi="Times New Roman"/>
          <w:sz w:val="24"/>
          <w:szCs w:val="24"/>
        </w:rPr>
        <w:t>- совокупный объем сделок за последние 10 торговых дней превысил 500 000 рублей (или соответствующий рублевый эквивалент по курсу иностранной валюты, представленный в информационной системе Bloomberg (курс Bloomberg BGN)).</w:t>
      </w:r>
    </w:p>
    <w:p w14:paraId="1A24B944"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Список биржевых площадок:</w:t>
      </w:r>
    </w:p>
    <w:p w14:paraId="0DE41403"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rPr>
        <w:t>- ПАО Московская Биржа;</w:t>
      </w:r>
    </w:p>
    <w:p w14:paraId="01E0744F"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rPr>
        <w:t>Нью</w:t>
      </w:r>
      <w:r>
        <w:rPr>
          <w:rFonts w:ascii="Times New Roman" w:hAnsi="Times New Roman"/>
          <w:sz w:val="24"/>
          <w:szCs w:val="24"/>
          <w:lang w:val="en-US"/>
        </w:rPr>
        <w:t>-</w:t>
      </w:r>
      <w:r>
        <w:rPr>
          <w:rFonts w:ascii="Times New Roman" w:hAnsi="Times New Roman"/>
          <w:sz w:val="24"/>
          <w:szCs w:val="24"/>
        </w:rPr>
        <w:t>Йоркская</w:t>
      </w: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(New York Stock Exchange);</w:t>
      </w:r>
    </w:p>
    <w:p w14:paraId="1ADABD8A"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rPr>
        <w:t>Лондонская</w:t>
      </w: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(London Stock Exchange); </w:t>
      </w:r>
    </w:p>
    <w:p w14:paraId="54A60B82"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w:t>
      </w:r>
      <w:r>
        <w:rPr>
          <w:rFonts w:ascii="Times New Roman" w:hAnsi="Times New Roman"/>
          <w:sz w:val="24"/>
          <w:szCs w:val="24"/>
        </w:rPr>
        <w:t>Насдак</w:t>
      </w:r>
      <w:r>
        <w:rPr>
          <w:rFonts w:ascii="Times New Roman" w:hAnsi="Times New Roman"/>
          <w:sz w:val="24"/>
          <w:szCs w:val="24"/>
          <w:lang w:val="en-US"/>
        </w:rPr>
        <w:t xml:space="preserve"> (The NASDAQ Stock Market);</w:t>
      </w:r>
    </w:p>
    <w:p w14:paraId="011469CD"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rPr>
        <w:t>Франкфуртская</w:t>
      </w: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(Frankfurt Stock Exchange);</w:t>
      </w:r>
    </w:p>
    <w:p w14:paraId="072B7C59"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lang w:val="en-US"/>
        </w:rPr>
        <w:t xml:space="preserve"> </w:t>
      </w:r>
      <w:r>
        <w:rPr>
          <w:rFonts w:ascii="Times New Roman" w:hAnsi="Times New Roman"/>
          <w:sz w:val="24"/>
          <w:szCs w:val="24"/>
        </w:rPr>
        <w:t>- Американская Фондовая биржа (American Stock Exchange);</w:t>
      </w:r>
    </w:p>
    <w:p w14:paraId="2A4E0F84"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rPr>
        <w:t xml:space="preserve"> - Гонконгская Фондовая биржа (Hong Kong Stock Exchange);</w:t>
      </w:r>
    </w:p>
    <w:p w14:paraId="0FB60E3D"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lang w:val="en-US"/>
        </w:rPr>
        <w:t xml:space="preserve">- </w:t>
      </w:r>
      <w:r>
        <w:rPr>
          <w:rFonts w:ascii="Times New Roman" w:hAnsi="Times New Roman"/>
          <w:sz w:val="24"/>
          <w:szCs w:val="24"/>
        </w:rPr>
        <w:t>Евронекст</w:t>
      </w:r>
      <w:r>
        <w:rPr>
          <w:rFonts w:ascii="Times New Roman" w:hAnsi="Times New Roman"/>
          <w:sz w:val="24"/>
          <w:szCs w:val="24"/>
          <w:lang w:val="en-US"/>
        </w:rPr>
        <w:t xml:space="preserve"> (Euronext Amsterdam, Euronext Brussels, Euronext Lisbon, Euronext Paris);</w:t>
      </w:r>
    </w:p>
    <w:p w14:paraId="564CFCBC"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rPr>
        <w:t>Ирландская</w:t>
      </w: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(Irish Stock Exchange);</w:t>
      </w:r>
    </w:p>
    <w:p w14:paraId="62888DD3"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 </w:t>
      </w:r>
      <w:r>
        <w:rPr>
          <w:rFonts w:ascii="Times New Roman" w:hAnsi="Times New Roman"/>
          <w:sz w:val="24"/>
          <w:szCs w:val="24"/>
        </w:rPr>
        <w:t>Испанская</w:t>
      </w: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(BME Spanish Exchanges);</w:t>
      </w:r>
    </w:p>
    <w:p w14:paraId="2BB5D1DD"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lang w:val="en-US"/>
        </w:rPr>
        <w:t xml:space="preserve"> </w:t>
      </w:r>
      <w:r>
        <w:rPr>
          <w:rFonts w:ascii="Times New Roman" w:hAnsi="Times New Roman"/>
          <w:sz w:val="24"/>
          <w:szCs w:val="24"/>
        </w:rPr>
        <w:t>- Итальянская Фондовая биржа (Borsa Italiana);</w:t>
      </w:r>
    </w:p>
    <w:p w14:paraId="7940C893"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rPr>
        <w:t xml:space="preserve"> - Корейская биржа (Korea Exchange);</w:t>
      </w:r>
    </w:p>
    <w:p w14:paraId="455B9F92"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rPr>
        <w:t xml:space="preserve"> -Люксембургская Фондовая биржа (Luxembourg Stock Exchange);</w:t>
      </w:r>
    </w:p>
    <w:p w14:paraId="67057ABB"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rPr>
        <w:t xml:space="preserve"> - Немецкая Фондовая биржа (</w:t>
      </w:r>
      <w:r>
        <w:rPr>
          <w:rFonts w:ascii="Times New Roman" w:hAnsi="Times New Roman"/>
          <w:sz w:val="24"/>
          <w:szCs w:val="24"/>
          <w:lang w:val="en-US"/>
        </w:rPr>
        <w:t>Deutsche</w:t>
      </w:r>
      <w:r w:rsidRPr="00811E19">
        <w:rPr>
          <w:rFonts w:ascii="Times New Roman" w:hAnsi="Times New Roman"/>
          <w:sz w:val="24"/>
          <w:szCs w:val="24"/>
        </w:rPr>
        <w:t xml:space="preserve"> </w:t>
      </w:r>
      <w:r>
        <w:rPr>
          <w:rFonts w:ascii="Times New Roman" w:hAnsi="Times New Roman"/>
          <w:sz w:val="24"/>
          <w:szCs w:val="24"/>
          <w:lang w:val="en-US"/>
        </w:rPr>
        <w:t>Borse</w:t>
      </w:r>
      <w:r>
        <w:rPr>
          <w:rFonts w:ascii="Times New Roman" w:hAnsi="Times New Roman"/>
          <w:sz w:val="24"/>
          <w:szCs w:val="24"/>
        </w:rPr>
        <w:t>);</w:t>
      </w:r>
    </w:p>
    <w:p w14:paraId="584237D7"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lang w:val="en-US"/>
        </w:rPr>
        <w:t>-  Xetra («Exchange Electronic Trading»);</w:t>
      </w:r>
    </w:p>
    <w:p w14:paraId="7F65201F"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 </w:t>
      </w:r>
      <w:r>
        <w:rPr>
          <w:rFonts w:ascii="Times New Roman" w:hAnsi="Times New Roman"/>
          <w:sz w:val="24"/>
          <w:szCs w:val="24"/>
        </w:rPr>
        <w:t>Токийская</w:t>
      </w: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(Tokyo Stock Exchange Group);</w:t>
      </w:r>
    </w:p>
    <w:p w14:paraId="658E507A"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w:t>
      </w:r>
      <w:r>
        <w:rPr>
          <w:rFonts w:ascii="Times New Roman" w:hAnsi="Times New Roman"/>
          <w:sz w:val="24"/>
          <w:szCs w:val="24"/>
        </w:rPr>
        <w:t>Торонто</w:t>
      </w:r>
      <w:r>
        <w:rPr>
          <w:rFonts w:ascii="Times New Roman" w:hAnsi="Times New Roman"/>
          <w:sz w:val="24"/>
          <w:szCs w:val="24"/>
          <w:lang w:val="en-US"/>
        </w:rPr>
        <w:t xml:space="preserve"> (Toronto Stock Exchange, TSX Group);</w:t>
      </w:r>
    </w:p>
    <w:p w14:paraId="1FB244E5"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lang w:val="en-US"/>
        </w:rPr>
        <w:t xml:space="preserve"> </w:t>
      </w:r>
      <w:r>
        <w:rPr>
          <w:rFonts w:ascii="Times New Roman" w:hAnsi="Times New Roman"/>
          <w:sz w:val="24"/>
          <w:szCs w:val="24"/>
        </w:rPr>
        <w:t>- Фондовая биржа Швейцарии (Swiss Exchange);</w:t>
      </w:r>
    </w:p>
    <w:p w14:paraId="1509C03D"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rPr>
        <w:t xml:space="preserve"> - Шанхайская Фондовая биржа (Shanghai Stock Exchange);</w:t>
      </w:r>
    </w:p>
    <w:p w14:paraId="32209CBB" w14:textId="17920DC5"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sidRPr="00767D8F">
        <w:rPr>
          <w:rFonts w:ascii="Times New Roman" w:hAnsi="Times New Roman"/>
          <w:sz w:val="24"/>
          <w:szCs w:val="24"/>
        </w:rPr>
        <w:t xml:space="preserve"> </w:t>
      </w:r>
      <w:r>
        <w:rPr>
          <w:rFonts w:ascii="Times New Roman" w:hAnsi="Times New Roman"/>
          <w:sz w:val="24"/>
          <w:szCs w:val="24"/>
          <w:lang w:val="en-US"/>
        </w:rPr>
        <w:t xml:space="preserve">- </w:t>
      </w:r>
      <w:r>
        <w:rPr>
          <w:rFonts w:ascii="Times New Roman" w:hAnsi="Times New Roman"/>
          <w:sz w:val="24"/>
          <w:szCs w:val="24"/>
        </w:rPr>
        <w:t>Чикагская</w:t>
      </w: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(Chicago Mercantile Exchange (CME Group).</w:t>
      </w:r>
    </w:p>
    <w:p w14:paraId="28299118"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 xml:space="preserve">Критерии выбора основного рынка для российских ценных бумаг. </w:t>
      </w:r>
    </w:p>
    <w:p w14:paraId="5DB0136B"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Основным рынком для российских ценных бумаг признается</w:t>
      </w:r>
    </w:p>
    <w:p w14:paraId="46E5D792"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ПАО Московская Биржа;</w:t>
      </w:r>
    </w:p>
    <w:p w14:paraId="7A8BE4DC"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в случае если ПАО Московская Биржа не является активным рынком – российская биржевая площадка из числа активных рынков, по которой определен наибольший общий объем сделок по количеству ценных бумаг за последние 10 торговых дней.</w:t>
      </w:r>
    </w:p>
    <w:p w14:paraId="63D7D08B"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при отсутствии информации об объеме сделок по количеству ценных бумаг используется информация об объеме сделок в денежном выражении.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 </w:t>
      </w:r>
    </w:p>
    <w:bookmarkEnd w:id="1"/>
    <w:p w14:paraId="696851AA" w14:textId="7DA2DAEC" w:rsidR="000C1E0E" w:rsidRDefault="00E06251"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 xml:space="preserve">Критерии </w:t>
      </w:r>
      <w:r w:rsidR="000C1E0E">
        <w:rPr>
          <w:rFonts w:ascii="Times New Roman" w:hAnsi="Times New Roman"/>
          <w:b/>
          <w:sz w:val="24"/>
          <w:szCs w:val="24"/>
        </w:rPr>
        <w:t xml:space="preserve">выбора основного рынка для иностранных ценных бумаг. </w:t>
      </w:r>
    </w:p>
    <w:p w14:paraId="6211D98C" w14:textId="71B8E0D3" w:rsidR="000C1E0E" w:rsidRDefault="000C1E0E" w:rsidP="000C1E0E">
      <w:pPr>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sz w:val="24"/>
          <w:szCs w:val="24"/>
        </w:rPr>
        <w:t>Основным рынком для иностранных ценных бумаг признается:</w:t>
      </w:r>
    </w:p>
    <w:p w14:paraId="61D3B430"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иностранная биржа или российская биржа из числа активных рынков, по которой определен наибольший общий объем сделок по количеству ценных бумаг за последние 10 торговых дней;</w:t>
      </w:r>
    </w:p>
    <w:p w14:paraId="11B47799"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при отсутствии информации об объеме сделок по количеству ценных бумаг используется информация об объеме сделок в денежном выражении. При этом 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p>
    <w:p w14:paraId="535CDA1C" w14:textId="77777777" w:rsidR="000C1E0E" w:rsidRDefault="000C1E0E" w:rsidP="000C1E0E">
      <w:pPr>
        <w:keepNext/>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Для облигаций внешних облигационных займов Российской Федерации, долговых ценных бумаг иностранных государств, еврооблигаций иностранных - эмитентов, ценных бумаг международных финансовых организаций основным рынком признается внебиржевой рынок. </w:t>
      </w:r>
    </w:p>
    <w:p w14:paraId="2C28407C"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В случае, если долговые ценные бумаги иностранных государств допущены к торгам на российской бирже, то справедливая стоимость ценных бумаг определяется на Уровне 1 также, как определяется справедливая стоимость облигаций российского эмитента.</w:t>
      </w:r>
    </w:p>
    <w:p w14:paraId="1F3EA67F" w14:textId="77777777" w:rsidR="000C1E0E" w:rsidRDefault="000C1E0E" w:rsidP="000C1E0E">
      <w:pPr>
        <w:keepNext/>
        <w:widowControl w:val="0"/>
        <w:numPr>
          <w:ilvl w:val="2"/>
          <w:numId w:val="4"/>
        </w:numPr>
        <w:spacing w:before="60" w:after="60" w:line="240" w:lineRule="auto"/>
        <w:outlineLvl w:val="1"/>
        <w:rPr>
          <w:rFonts w:ascii="Times New Roman" w:hAnsi="Times New Roman"/>
          <w:sz w:val="24"/>
          <w:szCs w:val="24"/>
        </w:rPr>
      </w:pPr>
      <w:r>
        <w:rPr>
          <w:rFonts w:eastAsia="Batang"/>
          <w:sz w:val="24"/>
          <w:szCs w:val="24"/>
        </w:rPr>
        <w:t>В случае, если на основном (наиболее выгодном) рынке был нерабочий (праздничный) день на дату определения справедливой стоимости актива и при условии наличия проведенного анализа данных, подтверждающего, что после даты, по состоянию на которую наблюдалась цена, не произошли существенные события – используются цены последнего торгового дня.</w:t>
      </w:r>
    </w:p>
    <w:p w14:paraId="41861A9F"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p>
    <w:p w14:paraId="50B82059" w14:textId="77777777" w:rsidR="000C1E0E" w:rsidRDefault="000C1E0E" w:rsidP="000C1E0E">
      <w:pPr>
        <w:keepNext/>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 xml:space="preserve">Определение справедливой стоимости ценных бумаг и ПФИ. </w:t>
      </w:r>
    </w:p>
    <w:p w14:paraId="42BDE753" w14:textId="77777777" w:rsidR="000C1E0E" w:rsidRDefault="000C1E0E" w:rsidP="000C1E0E">
      <w:pPr>
        <w:keepNext/>
        <w:widowControl w:val="0"/>
        <w:numPr>
          <w:ilvl w:val="2"/>
          <w:numId w:val="4"/>
        </w:numPr>
        <w:spacing w:before="60" w:after="60" w:line="240" w:lineRule="auto"/>
        <w:jc w:val="left"/>
        <w:outlineLvl w:val="1"/>
        <w:rPr>
          <w:rFonts w:ascii="Times New Roman" w:hAnsi="Times New Roman"/>
          <w:sz w:val="24"/>
          <w:szCs w:val="24"/>
        </w:rPr>
      </w:pPr>
      <w:r>
        <w:rPr>
          <w:rFonts w:ascii="Times New Roman" w:hAnsi="Times New Roman"/>
          <w:sz w:val="24"/>
          <w:szCs w:val="24"/>
        </w:rPr>
        <w:t xml:space="preserve">Уровни цен при определении справедливой стоимости: </w:t>
      </w:r>
    </w:p>
    <w:p w14:paraId="0A6031B3" w14:textId="77777777" w:rsidR="000C1E0E" w:rsidRDefault="000C1E0E" w:rsidP="000C1E0E">
      <w:pPr>
        <w:keepNext/>
        <w:widowControl w:val="0"/>
        <w:spacing w:before="60" w:after="60" w:line="240" w:lineRule="auto"/>
        <w:ind w:left="720"/>
        <w:jc w:val="left"/>
        <w:outlineLvl w:val="1"/>
        <w:rPr>
          <w:rFonts w:ascii="Times New Roman" w:hAnsi="Times New Roman"/>
          <w:sz w:val="24"/>
          <w:szCs w:val="24"/>
        </w:rPr>
      </w:pPr>
      <w:r>
        <w:rPr>
          <w:rFonts w:ascii="Times New Roman" w:hAnsi="Times New Roman"/>
          <w:sz w:val="24"/>
          <w:szCs w:val="24"/>
        </w:rPr>
        <w:t>1 уровень – цена актива или обязательства на основном (активном) рынке;</w:t>
      </w:r>
    </w:p>
    <w:p w14:paraId="275F4BA3" w14:textId="77777777" w:rsidR="000C1E0E" w:rsidRDefault="000C1E0E" w:rsidP="000C1E0E">
      <w:pPr>
        <w:keepNext/>
        <w:widowControl w:val="0"/>
        <w:spacing w:before="60" w:after="60" w:line="240" w:lineRule="auto"/>
        <w:ind w:left="720"/>
        <w:jc w:val="left"/>
        <w:outlineLvl w:val="1"/>
        <w:rPr>
          <w:rFonts w:ascii="Times New Roman" w:hAnsi="Times New Roman"/>
          <w:sz w:val="24"/>
          <w:szCs w:val="24"/>
        </w:rPr>
      </w:pPr>
      <w:r>
        <w:rPr>
          <w:rFonts w:ascii="Times New Roman" w:hAnsi="Times New Roman"/>
          <w:sz w:val="24"/>
          <w:szCs w:val="24"/>
        </w:rPr>
        <w:t>2 уровень - цена, рассчитанная на основе наблюдаемых данных по указанному или аналогичному активу;</w:t>
      </w:r>
    </w:p>
    <w:p w14:paraId="0DE57B1E" w14:textId="77777777" w:rsidR="000C1E0E" w:rsidRDefault="000C1E0E" w:rsidP="000C1E0E">
      <w:pPr>
        <w:keepNext/>
        <w:widowControl w:val="0"/>
        <w:spacing w:before="60" w:after="60" w:line="240" w:lineRule="auto"/>
        <w:ind w:left="720"/>
        <w:jc w:val="left"/>
        <w:outlineLvl w:val="1"/>
        <w:rPr>
          <w:rFonts w:ascii="Times New Roman" w:hAnsi="Times New Roman"/>
          <w:sz w:val="24"/>
          <w:szCs w:val="24"/>
        </w:rPr>
      </w:pPr>
      <w:r>
        <w:rPr>
          <w:rFonts w:ascii="Times New Roman" w:hAnsi="Times New Roman"/>
          <w:sz w:val="24"/>
          <w:szCs w:val="24"/>
        </w:rPr>
        <w:t xml:space="preserve">3 уровень – цена, определенная на основе ненаблюдаемых данных исключительно на основе расчетных показателей в отношении конкретного актива.  </w:t>
      </w:r>
    </w:p>
    <w:p w14:paraId="37B0EBA4"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Справедливая стоимость ценных бумаг российских эмитентов определяется в следующем порядке:</w:t>
      </w:r>
    </w:p>
    <w:p w14:paraId="194CBFD5"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b/>
          <w:sz w:val="24"/>
          <w:szCs w:val="24"/>
          <w:u w:val="single"/>
        </w:rPr>
        <w:t>1 уровень цен</w:t>
      </w:r>
      <w:r>
        <w:rPr>
          <w:rFonts w:ascii="Times New Roman" w:hAnsi="Times New Roman"/>
          <w:b/>
          <w:sz w:val="24"/>
          <w:szCs w:val="24"/>
        </w:rPr>
        <w:t>:</w:t>
      </w:r>
      <w:r>
        <w:rPr>
          <w:rFonts w:ascii="Times New Roman" w:hAnsi="Times New Roman"/>
          <w:sz w:val="24"/>
          <w:szCs w:val="24"/>
        </w:rPr>
        <w:t xml:space="preserve"> для определения справедливой стоимости, используются цены основного рынка за последний торговый день (из числа активных  российских бирж), выбранные в следующем порядке (убывания приоритета):</w:t>
      </w:r>
    </w:p>
    <w:p w14:paraId="30680C45" w14:textId="77777777" w:rsidR="000C1E0E" w:rsidRDefault="000C1E0E" w:rsidP="000C1E0E">
      <w:pPr>
        <w:pStyle w:val="afc"/>
        <w:keepNext/>
        <w:widowControl w:val="0"/>
        <w:numPr>
          <w:ilvl w:val="0"/>
          <w:numId w:val="5"/>
        </w:numPr>
        <w:spacing w:before="60" w:after="60" w:line="240" w:lineRule="auto"/>
        <w:jc w:val="both"/>
        <w:outlineLvl w:val="1"/>
        <w:rPr>
          <w:rFonts w:ascii="Times New Roman" w:hAnsi="Times New Roman"/>
          <w:sz w:val="24"/>
          <w:szCs w:val="24"/>
        </w:rPr>
      </w:pPr>
      <w:r>
        <w:rPr>
          <w:rFonts w:ascii="Times New Roman" w:hAnsi="Times New Roman"/>
          <w:sz w:val="24"/>
          <w:szCs w:val="24"/>
        </w:rPr>
        <w:t>цена спроса (bid) на момент окончания торговой сессии российской биржи на дату определения СЧА при условии подтверждения ее корректности;</w:t>
      </w:r>
    </w:p>
    <w:p w14:paraId="22AB8E4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w:t>
      </w:r>
    </w:p>
    <w:p w14:paraId="2A7D2FA0" w14:textId="77777777" w:rsidR="000C1E0E" w:rsidRDefault="000C1E0E" w:rsidP="000C1E0E">
      <w:pPr>
        <w:pStyle w:val="afc"/>
        <w:keepNext/>
        <w:widowControl w:val="0"/>
        <w:numPr>
          <w:ilvl w:val="0"/>
          <w:numId w:val="5"/>
        </w:numPr>
        <w:spacing w:before="60" w:after="60" w:line="240" w:lineRule="auto"/>
        <w:jc w:val="both"/>
        <w:outlineLvl w:val="1"/>
        <w:rPr>
          <w:rFonts w:ascii="Times New Roman" w:hAnsi="Times New Roman"/>
          <w:sz w:val="24"/>
          <w:szCs w:val="24"/>
        </w:rPr>
      </w:pPr>
      <w:r>
        <w:rPr>
          <w:rFonts w:ascii="Times New Roman" w:hAnsi="Times New Roman"/>
          <w:sz w:val="24"/>
          <w:szCs w:val="24"/>
        </w:rPr>
        <w:t>средневзвешенная цена на момент окончания торговой сессии российской биржи на дату определения СЧА, при условии ее корректности;</w:t>
      </w:r>
    </w:p>
    <w:p w14:paraId="1F98E910"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Средневзвешенная цена, определенная на дату определения СЧА, признается корректной, если данная цена находится в пределах спреда по спросу (bid) и предложению (</w:t>
      </w:r>
      <w:r>
        <w:rPr>
          <w:rFonts w:ascii="Times New Roman" w:hAnsi="Times New Roman"/>
          <w:sz w:val="24"/>
          <w:szCs w:val="24"/>
          <w:lang w:val="en-US"/>
        </w:rPr>
        <w:t>ask</w:t>
      </w:r>
      <w:r>
        <w:rPr>
          <w:rFonts w:ascii="Times New Roman" w:hAnsi="Times New Roman"/>
          <w:sz w:val="24"/>
          <w:szCs w:val="24"/>
        </w:rPr>
        <w:t>) на указанную дату;</w:t>
      </w:r>
    </w:p>
    <w:p w14:paraId="4831DFC8"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с) цена закрытия на момент окончания торговой сессии российской биржи на дату определения СЧА при условии подтверждения ее корректности;</w:t>
      </w:r>
    </w:p>
    <w:p w14:paraId="3C62D4BF" w14:textId="77777777" w:rsidR="000C1E0E" w:rsidRDefault="000C1E0E" w:rsidP="000C1E0E">
      <w:pPr>
        <w:keepNext/>
        <w:widowControl w:val="0"/>
        <w:spacing w:before="60" w:after="60" w:line="240" w:lineRule="auto"/>
        <w:ind w:left="708"/>
        <w:outlineLvl w:val="1"/>
        <w:rPr>
          <w:rFonts w:ascii="Times New Roman" w:hAnsi="Times New Roman"/>
          <w:sz w:val="24"/>
          <w:szCs w:val="24"/>
        </w:rPr>
      </w:pPr>
      <w:r>
        <w:rPr>
          <w:rFonts w:ascii="Times New Roman" w:hAnsi="Times New Roman"/>
          <w:sz w:val="24"/>
          <w:szCs w:val="24"/>
        </w:rPr>
        <w:t xml:space="preserve">Цена закрытия признается корректной, если раскрыты данные об объеме торгов за день и объем торгов не равен нулю, с проверкой цены закрытия (CLOSE) &lt; &gt; 0. </w:t>
      </w:r>
    </w:p>
    <w:p w14:paraId="36887C1A" w14:textId="77777777" w:rsidR="000C1E0E" w:rsidRDefault="000C1E0E" w:rsidP="000C1E0E">
      <w:pPr>
        <w:keepNext/>
        <w:widowControl w:val="0"/>
        <w:spacing w:before="60" w:after="60" w:line="240" w:lineRule="auto"/>
        <w:ind w:left="720"/>
        <w:outlineLvl w:val="1"/>
        <w:rPr>
          <w:rFonts w:ascii="Times New Roman" w:hAnsi="Times New Roman"/>
          <w:b/>
          <w:sz w:val="24"/>
          <w:szCs w:val="24"/>
        </w:rPr>
      </w:pPr>
      <w:r>
        <w:rPr>
          <w:rFonts w:ascii="Times New Roman" w:hAnsi="Times New Roman"/>
          <w:b/>
          <w:sz w:val="24"/>
          <w:szCs w:val="24"/>
          <w:u w:val="single"/>
        </w:rPr>
        <w:t>2 уровень цен</w:t>
      </w:r>
      <w:r>
        <w:rPr>
          <w:rFonts w:ascii="Times New Roman" w:hAnsi="Times New Roman"/>
          <w:b/>
          <w:sz w:val="24"/>
          <w:szCs w:val="24"/>
        </w:rPr>
        <w:t>:</w:t>
      </w:r>
    </w:p>
    <w:p w14:paraId="2D0DCDAF" w14:textId="77777777" w:rsidR="000C1E0E" w:rsidRDefault="000C1E0E" w:rsidP="000C1E0E">
      <w:pPr>
        <w:keepNext/>
        <w:widowControl w:val="0"/>
        <w:spacing w:before="60" w:after="60" w:line="240" w:lineRule="auto"/>
        <w:ind w:left="720"/>
        <w:outlineLvl w:val="1"/>
        <w:rPr>
          <w:rFonts w:ascii="Times New Roman" w:hAnsi="Times New Roman"/>
          <w:b/>
          <w:sz w:val="24"/>
          <w:szCs w:val="24"/>
        </w:rPr>
      </w:pPr>
      <w:r>
        <w:rPr>
          <w:rFonts w:ascii="Times New Roman" w:hAnsi="Times New Roman"/>
          <w:sz w:val="24"/>
          <w:szCs w:val="24"/>
        </w:rPr>
        <w:t>а)</w:t>
      </w:r>
      <w:r>
        <w:rPr>
          <w:rFonts w:ascii="Times New Roman" w:hAnsi="Times New Roman"/>
          <w:b/>
          <w:sz w:val="24"/>
          <w:szCs w:val="24"/>
        </w:rPr>
        <w:t xml:space="preserve"> Для акций российских эмитентов.</w:t>
      </w:r>
    </w:p>
    <w:p w14:paraId="05987D0F"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Справедливая стоимость акций российских эмитентов, обращающихся на российских и иностранных фондовых биржах, определяется в соответствии с моделью оценки, основанной на корректировке исторической цены. Данная корректировка применяется в случае отсутствия наблюдаемой цены в течение не более десяти рабочих дней (далее применяется 3 уровень цен). </w:t>
      </w:r>
    </w:p>
    <w:p w14:paraId="46024AB1" w14:textId="77777777" w:rsidR="000C1E0E" w:rsidRDefault="000C1E0E" w:rsidP="000C1E0E">
      <w:pPr>
        <w:keepNext/>
        <w:widowControl w:val="0"/>
        <w:spacing w:before="60" w:after="60" w:line="240" w:lineRule="auto"/>
        <w:ind w:left="720"/>
        <w:outlineLvl w:val="1"/>
        <w:rPr>
          <w:rFonts w:eastAsia="Batang"/>
          <w:sz w:val="24"/>
          <w:szCs w:val="24"/>
        </w:rPr>
      </w:pPr>
      <w:r>
        <w:rPr>
          <w:rFonts w:eastAsia="Batang"/>
          <w:sz w:val="24"/>
          <w:szCs w:val="24"/>
        </w:rPr>
        <w:t>В случае, если на всех доступных и наблюдаемых биржевых площадках был неторговый день на дату определения справедливой стоимости актива и при условии наличия проведенного анализа данных, подтверждающего, что после даты, по состоянию на которую наблюдалась цена, не произошли существенные события –используются цены на последний торговый день.</w:t>
      </w:r>
    </w:p>
    <w:p w14:paraId="60F84283"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Для целей оценки справедливой стоимости используется сравнение динамики (доходности за определенный промежуток времени) анализируемого финансового инструмента с динамикой рыночных индикаторов. </w:t>
      </w:r>
    </w:p>
    <w:p w14:paraId="2F1C901B"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Рыночный индикатор выбирается в зависимости от государства регистрации биржи, являющейся Основным рынком для оцениваемой акции на дату, предшествующую дате определения СЧА, из нижеперечисленных:</w:t>
      </w:r>
    </w:p>
    <w:p w14:paraId="75D12097"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S&amp;P/ASX-200 (Австралия), ATX (Австрия), BEL20, (Бельгия), FTSE 100 (Великобритания), Hang Seng (Специальный административный район Гонконг Китайской Народной Республики), DAX (Германия), OMX Copenhagen 20 (Дания), ISEQ 20 (Ирландия), ICEX (Исландия), IBEX 35 (Испания) , FTSE MIB (Италия), S&amp;P/TSX (Канада), IPC (Мексика), AEX Index (Нидерланды), PSI 20 (Португалия), </w:t>
      </w:r>
      <w:r>
        <w:rPr>
          <w:rFonts w:ascii="Times New Roman" w:hAnsi="Times New Roman"/>
          <w:sz w:val="24"/>
          <w:szCs w:val="24"/>
          <w:lang w:val="en-US"/>
        </w:rPr>
        <w:t>IMOEX</w:t>
      </w:r>
      <w:r>
        <w:rPr>
          <w:rFonts w:ascii="Times New Roman" w:hAnsi="Times New Roman"/>
          <w:sz w:val="24"/>
          <w:szCs w:val="24"/>
        </w:rPr>
        <w:t xml:space="preserve"> (Россия), S&amp;P 500 (США), OMX Helsinki 25 (Финляндия), CAC 40 (Франция), IPSA (Чили), SMI (Швейцария), OMXS30 (Швеция), Tallinn SE General (Эстония), Nikkei 225 (Япония), MSCI World Index (иные государства).</w:t>
      </w:r>
    </w:p>
    <w:p w14:paraId="72DC3750"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По депозитарным распискам возможно использование рыночных индикаторов в отношении базовых активов. </w:t>
      </w:r>
    </w:p>
    <w:p w14:paraId="0542FF03"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В случае если валюта индекса отличается от валюты оцениваемой ценной бумаги, расчет производится с учетом курсовой разницы по курсу Банка России.  </w:t>
      </w:r>
      <w:r>
        <w:rPr>
          <w:rFonts w:ascii="Times New Roman" w:hAnsi="Times New Roman"/>
          <w:sz w:val="24"/>
          <w:szCs w:val="24"/>
        </w:rPr>
        <w:br/>
        <w:t>Справедливая стоимость акций рассчитывается по формуле:</w:t>
      </w:r>
    </w:p>
    <w:p w14:paraId="763DCECF"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p>
    <w:p w14:paraId="3C33C84C" w14:textId="77777777" w:rsidR="000C1E0E" w:rsidRPr="00C375C8"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lang w:val="en-US"/>
        </w:rPr>
        <w:t>P</w:t>
      </w:r>
      <w:r w:rsidRPr="00C375C8">
        <w:rPr>
          <w:rFonts w:ascii="Times New Roman" w:hAnsi="Times New Roman"/>
          <w:sz w:val="24"/>
          <w:szCs w:val="24"/>
        </w:rPr>
        <w:t xml:space="preserve">1= </w:t>
      </w:r>
      <w:r>
        <w:rPr>
          <w:rFonts w:ascii="Times New Roman" w:hAnsi="Times New Roman"/>
          <w:sz w:val="24"/>
          <w:szCs w:val="24"/>
          <w:lang w:val="en-US"/>
        </w:rPr>
        <w:t>P</w:t>
      </w:r>
      <w:r w:rsidRPr="00C375C8">
        <w:rPr>
          <w:rFonts w:ascii="Times New Roman" w:hAnsi="Times New Roman"/>
          <w:sz w:val="24"/>
          <w:szCs w:val="24"/>
        </w:rPr>
        <w:t>0 * (</w:t>
      </w:r>
      <w:r>
        <w:rPr>
          <w:rFonts w:ascii="Times New Roman" w:hAnsi="Times New Roman"/>
          <w:sz w:val="24"/>
          <w:szCs w:val="24"/>
          <w:lang w:val="en-US"/>
        </w:rPr>
        <w:t>E</w:t>
      </w:r>
      <w:r w:rsidRPr="00C375C8">
        <w:rPr>
          <w:rFonts w:ascii="Times New Roman" w:hAnsi="Times New Roman"/>
          <w:sz w:val="24"/>
          <w:szCs w:val="24"/>
        </w:rPr>
        <w:t>(</w:t>
      </w:r>
      <w:r>
        <w:rPr>
          <w:rFonts w:ascii="Times New Roman" w:hAnsi="Times New Roman"/>
          <w:sz w:val="24"/>
          <w:szCs w:val="24"/>
          <w:lang w:val="en-US"/>
        </w:rPr>
        <w:t>R</w:t>
      </w:r>
      <w:r w:rsidRPr="00C375C8">
        <w:rPr>
          <w:rFonts w:ascii="Times New Roman" w:hAnsi="Times New Roman"/>
          <w:sz w:val="24"/>
          <w:szCs w:val="24"/>
        </w:rPr>
        <w:t>) + 1)</w:t>
      </w:r>
    </w:p>
    <w:p w14:paraId="2997D112" w14:textId="3AA5E6C7" w:rsidR="000C1E0E" w:rsidRDefault="000C1E0E" w:rsidP="000C1E0E">
      <w:pPr>
        <w:keepNext/>
        <w:widowControl w:val="0"/>
        <w:spacing w:before="60" w:after="60" w:line="240" w:lineRule="auto"/>
        <w:ind w:left="720"/>
        <w:outlineLvl w:val="1"/>
        <w:rPr>
          <w:rFonts w:ascii="Times New Roman" w:hAnsi="Times New Roman"/>
          <w:sz w:val="24"/>
          <w:szCs w:val="24"/>
          <w:lang w:val="en-US"/>
        </w:rPr>
      </w:pPr>
      <w:r>
        <w:rPr>
          <w:rFonts w:ascii="Times New Roman" w:hAnsi="Times New Roman"/>
          <w:sz w:val="24"/>
          <w:szCs w:val="24"/>
          <w:lang w:val="en-US"/>
        </w:rPr>
        <w:t xml:space="preserve">E(R) = Rf ′+ </w:t>
      </w:r>
      <w:r>
        <w:rPr>
          <w:rFonts w:ascii="Times New Roman" w:hAnsi="Times New Roman"/>
          <w:sz w:val="24"/>
          <w:szCs w:val="24"/>
        </w:rPr>
        <w:t>β</w:t>
      </w:r>
      <w:r>
        <w:rPr>
          <w:rFonts w:ascii="Times New Roman" w:hAnsi="Times New Roman"/>
          <w:sz w:val="24"/>
          <w:szCs w:val="24"/>
          <w:lang w:val="en-US"/>
        </w:rPr>
        <w:t xml:space="preserve"> * (Rm - Rf)</w:t>
      </w:r>
    </w:p>
    <w:p w14:paraId="403C61A0" w14:textId="77777777" w:rsidR="000C1E0E" w:rsidRDefault="00C84628" w:rsidP="000C1E0E">
      <w:pPr>
        <w:jc w:val="center"/>
        <w:rPr>
          <w:sz w:val="20"/>
        </w:rPr>
      </w:pPr>
      <m:oMathPara>
        <m:oMath>
          <m:sSub>
            <m:sSubPr>
              <m:ctrlPr>
                <w:rPr>
                  <w:rFonts w:ascii="Cambria Math" w:hAnsi="Cambria Math"/>
                </w:rPr>
              </m:ctrlPr>
            </m:sSubPr>
            <m:e>
              <m:r>
                <m:rPr>
                  <m:sty m:val="p"/>
                </m:rPr>
                <w:rPr>
                  <w:rFonts w:ascii="Cambria Math" w:hAnsi="Cambria Math"/>
                  <w:sz w:val="20"/>
                </w:rPr>
                <m:t>R</m:t>
              </m:r>
            </m:e>
            <m:sub>
              <m:r>
                <m:rPr>
                  <m:sty m:val="p"/>
                </m:rPr>
                <w:rPr>
                  <w:rFonts w:ascii="Cambria Math" w:hAnsi="Cambria Math"/>
                  <w:sz w:val="20"/>
                </w:rPr>
                <m:t>m</m:t>
              </m:r>
            </m:sub>
          </m:sSub>
          <m:r>
            <m:rPr>
              <m:sty m:val="p"/>
            </m:rPr>
            <w:rPr>
              <w:rFonts w:ascii="Cambria Math" w:hAnsi="Cambria Math"/>
              <w:sz w:val="20"/>
            </w:rPr>
            <m:t>=</m:t>
          </m:r>
          <m:f>
            <m:fPr>
              <m:ctrlPr>
                <w:rPr>
                  <w:rFonts w:ascii="Cambria Math" w:hAnsi="Cambria Math"/>
                </w:rPr>
              </m:ctrlPr>
            </m:fPr>
            <m:num>
              <m:sSub>
                <m:sSubPr>
                  <m:ctrlPr>
                    <w:rPr>
                      <w:rFonts w:ascii="Cambria Math" w:hAnsi="Cambria Math"/>
                    </w:rPr>
                  </m:ctrlPr>
                </m:sSubPr>
                <m:e>
                  <m:r>
                    <m:rPr>
                      <m:sty m:val="p"/>
                    </m:rPr>
                    <w:rPr>
                      <w:rFonts w:ascii="Cambria Math" w:hAnsi="Cambria Math"/>
                      <w:sz w:val="20"/>
                    </w:rPr>
                    <m:t>Pm</m:t>
                  </m:r>
                </m:e>
                <m:sub>
                  <m:r>
                    <m:rPr>
                      <m:sty m:val="p"/>
                    </m:rPr>
                    <w:rPr>
                      <w:rFonts w:ascii="Cambria Math" w:hAnsi="Cambria Math"/>
                      <w:sz w:val="20"/>
                    </w:rPr>
                    <m:t>1</m:t>
                  </m:r>
                </m:sub>
              </m:sSub>
            </m:num>
            <m:den>
              <m:sSub>
                <m:sSubPr>
                  <m:ctrlPr>
                    <w:rPr>
                      <w:rFonts w:ascii="Cambria Math" w:hAnsi="Cambria Math"/>
                    </w:rPr>
                  </m:ctrlPr>
                </m:sSubPr>
                <m:e>
                  <m:r>
                    <m:rPr>
                      <m:sty m:val="p"/>
                    </m:rPr>
                    <w:rPr>
                      <w:rFonts w:ascii="Cambria Math" w:hAnsi="Cambria Math"/>
                      <w:sz w:val="20"/>
                    </w:rPr>
                    <m:t>Pm</m:t>
                  </m:r>
                </m:e>
                <m:sub>
                  <m:r>
                    <m:rPr>
                      <m:sty m:val="p"/>
                    </m:rPr>
                    <w:rPr>
                      <w:rFonts w:ascii="Cambria Math" w:hAnsi="Cambria Math"/>
                      <w:sz w:val="20"/>
                    </w:rPr>
                    <m:t>0</m:t>
                  </m:r>
                </m:sub>
              </m:sSub>
            </m:den>
          </m:f>
          <m:r>
            <m:rPr>
              <m:sty m:val="p"/>
            </m:rPr>
            <w:rPr>
              <w:rFonts w:ascii="Cambria Math" w:hAnsi="Cambria Math"/>
              <w:sz w:val="20"/>
            </w:rPr>
            <m:t>-1</m:t>
          </m:r>
        </m:oMath>
      </m:oMathPara>
    </w:p>
    <w:p w14:paraId="677A18E8"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где:</w:t>
      </w:r>
    </w:p>
    <w:p w14:paraId="521A57B1" w14:textId="046F67BC" w:rsidR="000C1E0E" w:rsidRDefault="00E06251"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P1 </w:t>
      </w:r>
      <w:r w:rsidR="000C1E0E">
        <w:rPr>
          <w:rFonts w:ascii="Times New Roman" w:hAnsi="Times New Roman"/>
          <w:sz w:val="24"/>
          <w:szCs w:val="24"/>
        </w:rPr>
        <w:t>- справедливая стоимость одной ценной бумаги на дату определения справедливой стоимости</w:t>
      </w:r>
    </w:p>
    <w:p w14:paraId="57A31237"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P0 - последняя определенная справедливая стоимость ценной бумаги </w:t>
      </w:r>
    </w:p>
    <w:p w14:paraId="25FEBDEB"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E(R) – ожидаемая доходность ценной бумаги</w:t>
      </w:r>
    </w:p>
    <w:p w14:paraId="38C8B677"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Rm – доходность рыночного индикатора</w:t>
      </w:r>
    </w:p>
    <w:p w14:paraId="070CC1C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Pm1 - значение рыночного индикатора на дату определения справедливой стоимости</w:t>
      </w:r>
    </w:p>
    <w:p w14:paraId="0F71F0BE"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Pm0 - значение рыночного индикатора на предыдущую дату определения справедливой стоимости</w:t>
      </w:r>
    </w:p>
    <w:p w14:paraId="212D6485"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Rf - безрисковая ставка доходности.</w:t>
      </w:r>
    </w:p>
    <w:p w14:paraId="6575FE55"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Безрисковая ставка доходности определяется на дату определенная справедливой стоимости. Безрисковая ставка доходности приводится к количеству календарных дней между датами ее расчета по формуле:</w:t>
      </w:r>
    </w:p>
    <w:p w14:paraId="7AAAEFAC"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Rf ′ = (Rf/365(366)) х (T1 – T0)</w:t>
      </w:r>
    </w:p>
    <w:p w14:paraId="0AB98FCD"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где, </w:t>
      </w:r>
    </w:p>
    <w:p w14:paraId="0BCE57C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(T1 – T0) – количество календарных дней между указанными данными</w:t>
      </w:r>
    </w:p>
    <w:p w14:paraId="06096E5E"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T1 – дата определения справедливой стоимости</w:t>
      </w:r>
    </w:p>
    <w:p w14:paraId="32DBCB2A"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T0 – предыдущая дата определения справедливой стоимости</w:t>
      </w:r>
    </w:p>
    <w:p w14:paraId="350DDAE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p>
    <w:p w14:paraId="6F92D4A9"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Для акций российских эмитентов 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6EF538F3" w14:textId="77777777" w:rsidR="000C1E0E" w:rsidRDefault="000C1E0E" w:rsidP="000C1E0E">
      <w:pPr>
        <w:spacing w:after="200" w:line="276" w:lineRule="auto"/>
        <w:ind w:left="720"/>
        <w:contextualSpacing/>
        <w:jc w:val="left"/>
        <w:rPr>
          <w:rFonts w:ascii="Times New Roman" w:hAnsi="Times New Roman"/>
          <w:sz w:val="24"/>
          <w:szCs w:val="24"/>
        </w:rPr>
      </w:pPr>
      <w:r>
        <w:rPr>
          <w:rFonts w:ascii="Times New Roman" w:hAnsi="Times New Roman"/>
          <w:sz w:val="24"/>
          <w:szCs w:val="24"/>
        </w:rPr>
        <w:t>- методика расчёта кривой бескупонной доходности государственных облигаций, определенная Московской биржей;</w:t>
      </w:r>
    </w:p>
    <w:p w14:paraId="5096AF26" w14:textId="77777777" w:rsidR="000C1E0E" w:rsidRDefault="000C1E0E" w:rsidP="000C1E0E">
      <w:pPr>
        <w:spacing w:after="200" w:line="276" w:lineRule="auto"/>
        <w:ind w:left="720"/>
        <w:contextualSpacing/>
        <w:jc w:val="left"/>
        <w:rPr>
          <w:rFonts w:ascii="Times New Roman" w:hAnsi="Times New Roman"/>
          <w:sz w:val="24"/>
          <w:szCs w:val="24"/>
        </w:rPr>
      </w:pPr>
      <w:r>
        <w:rPr>
          <w:rFonts w:ascii="Times New Roman" w:hAnsi="Times New Roman"/>
          <w:sz w:val="24"/>
          <w:szCs w:val="24"/>
        </w:rPr>
        <w:t>- динамические параметры G-кривой по состоянию на каждый торговый день, публикуемые на официальном сайте Московской биржи.</w:t>
      </w:r>
    </w:p>
    <w:p w14:paraId="3FCA1BCC"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Ставка КБД рассчитывается без промежуточных округлений с точностью до 2 знаков после запятой (в процентном выражении).</w:t>
      </w:r>
    </w:p>
    <w:p w14:paraId="47993687" w14:textId="6A12094A"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β -  коэффициент «бета», рассчитанный по изменениям цен (значений) рыночного индикатора и изменениям цены закрытия ценной бумаги.</w:t>
      </w:r>
    </w:p>
    <w:p w14:paraId="5BCDB594"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 xml:space="preserve">Коэффициент «бета» рассчитывается на дату, предшествующую дате определения справедливой стоимости. При этом дата расчета коэффициента «бета» должна являться торговым днем. </w:t>
      </w:r>
    </w:p>
    <w:p w14:paraId="7DBBD51D"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Для расчета коэффициента «бета» используются значения, определенные за последние 45 торговых дней, предшествующие дате определения справедливой стоимости, по следующей формуле:</w:t>
      </w:r>
    </w:p>
    <w:p w14:paraId="29EBBE6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p>
    <w:p w14:paraId="53F39163" w14:textId="77777777" w:rsidR="000C1E0E" w:rsidRDefault="000C1E0E" w:rsidP="000C1E0E">
      <w:pPr>
        <w:spacing w:line="276" w:lineRule="auto"/>
        <w:rPr>
          <w:rFonts w:ascii="Calibri" w:hAnsi="Calibri"/>
          <w:sz w:val="20"/>
        </w:rPr>
      </w:pPr>
      <m:oMathPara>
        <m:oMath>
          <m:r>
            <m:rPr>
              <m:sty m:val="p"/>
            </m:rPr>
            <w:rPr>
              <w:rFonts w:ascii="Cambria Math" w:hAnsi="Cambria Math"/>
              <w:sz w:val="20"/>
            </w:rPr>
            <m:t>β=</m:t>
          </m:r>
          <m:f>
            <m:fPr>
              <m:ctrlPr>
                <w:rPr>
                  <w:rFonts w:ascii="Cambria Math" w:hAnsi="Cambria Math"/>
                </w:rPr>
              </m:ctrlPr>
            </m:fPr>
            <m:num>
              <m:r>
                <m:rPr>
                  <m:sty m:val="p"/>
                </m:rPr>
                <w:rPr>
                  <w:rFonts w:ascii="Cambria Math" w:hAnsi="Cambria Math"/>
                  <w:sz w:val="20"/>
                </w:rPr>
                <m:t xml:space="preserve">Covariance </m:t>
              </m:r>
              <m:d>
                <m:dPr>
                  <m:ctrlPr>
                    <w:rPr>
                      <w:rFonts w:ascii="Cambria Math" w:hAnsi="Cambria Math"/>
                    </w:rPr>
                  </m:ctrlPr>
                </m:dPr>
                <m:e>
                  <m:sSub>
                    <m:sSubPr>
                      <m:ctrlPr>
                        <w:rPr>
                          <w:rFonts w:ascii="Cambria Math" w:hAnsi="Cambria Math"/>
                        </w:rPr>
                      </m:ctrlPr>
                    </m:sSubPr>
                    <m:e>
                      <m:r>
                        <m:rPr>
                          <m:sty m:val="p"/>
                        </m:rPr>
                        <w:rPr>
                          <w:rFonts w:ascii="Cambria Math" w:hAnsi="Cambria Math"/>
                          <w:sz w:val="20"/>
                        </w:rPr>
                        <m:t>R</m:t>
                      </m:r>
                    </m:e>
                    <m:sub>
                      <m:r>
                        <m:rPr>
                          <m:sty m:val="p"/>
                        </m:rPr>
                        <w:rPr>
                          <w:rFonts w:ascii="Cambria Math" w:hAnsi="Cambria Math"/>
                          <w:sz w:val="20"/>
                        </w:rPr>
                        <m:t>a</m:t>
                      </m:r>
                    </m:sub>
                  </m:sSub>
                  <m:r>
                    <m:rPr>
                      <m:sty m:val="p"/>
                    </m:rPr>
                    <w:rPr>
                      <w:rFonts w:ascii="Cambria Math" w:hAnsi="Cambria Math"/>
                      <w:sz w:val="20"/>
                    </w:rPr>
                    <m:t xml:space="preserve">, </m:t>
                  </m:r>
                  <m:sSub>
                    <m:sSubPr>
                      <m:ctrlPr>
                        <w:rPr>
                          <w:rFonts w:ascii="Cambria Math" w:hAnsi="Cambria Math"/>
                        </w:rPr>
                      </m:ctrlPr>
                    </m:sSubPr>
                    <m:e>
                      <m:r>
                        <m:rPr>
                          <m:sty m:val="p"/>
                        </m:rPr>
                        <w:rPr>
                          <w:rFonts w:ascii="Cambria Math" w:hAnsi="Cambria Math"/>
                          <w:sz w:val="20"/>
                        </w:rPr>
                        <m:t>R</m:t>
                      </m:r>
                    </m:e>
                    <m:sub>
                      <m:r>
                        <m:rPr>
                          <m:sty m:val="p"/>
                        </m:rPr>
                        <w:rPr>
                          <w:rFonts w:ascii="Cambria Math" w:hAnsi="Cambria Math"/>
                          <w:sz w:val="20"/>
                        </w:rPr>
                        <m:t>m</m:t>
                      </m:r>
                    </m:sub>
                  </m:sSub>
                </m:e>
              </m:d>
            </m:num>
            <m:den>
              <m:r>
                <m:rPr>
                  <m:sty m:val="p"/>
                </m:rPr>
                <w:rPr>
                  <w:rFonts w:ascii="Cambria Math" w:hAnsi="Cambria Math"/>
                  <w:sz w:val="20"/>
                </w:rPr>
                <m:t xml:space="preserve">Variance </m:t>
              </m:r>
              <m:d>
                <m:dPr>
                  <m:ctrlPr>
                    <w:rPr>
                      <w:rFonts w:ascii="Cambria Math" w:hAnsi="Cambria Math"/>
                    </w:rPr>
                  </m:ctrlPr>
                </m:dPr>
                <m:e>
                  <m:sSub>
                    <m:sSubPr>
                      <m:ctrlPr>
                        <w:rPr>
                          <w:rFonts w:ascii="Cambria Math" w:hAnsi="Cambria Math"/>
                        </w:rPr>
                      </m:ctrlPr>
                    </m:sSubPr>
                    <m:e>
                      <m:r>
                        <m:rPr>
                          <m:sty m:val="p"/>
                        </m:rPr>
                        <w:rPr>
                          <w:rFonts w:ascii="Cambria Math" w:hAnsi="Cambria Math"/>
                          <w:sz w:val="20"/>
                        </w:rPr>
                        <m:t>R</m:t>
                      </m:r>
                    </m:e>
                    <m:sub>
                      <m:r>
                        <m:rPr>
                          <m:sty m:val="p"/>
                        </m:rPr>
                        <w:rPr>
                          <w:rFonts w:ascii="Cambria Math" w:hAnsi="Cambria Math"/>
                          <w:sz w:val="20"/>
                        </w:rPr>
                        <m:t>m</m:t>
                      </m:r>
                    </m:sub>
                  </m:sSub>
                </m:e>
              </m:d>
            </m:den>
          </m:f>
        </m:oMath>
      </m:oMathPara>
    </w:p>
    <w:p w14:paraId="421D705C" w14:textId="77777777" w:rsidR="000C1E0E" w:rsidRDefault="00C84628" w:rsidP="000C1E0E">
      <w:pPr>
        <w:rPr>
          <w:sz w:val="20"/>
        </w:rPr>
      </w:pPr>
      <m:oMathPara>
        <m:oMath>
          <m:sSub>
            <m:sSubPr>
              <m:ctrlPr>
                <w:rPr>
                  <w:rFonts w:ascii="Cambria Math" w:hAnsi="Cambria Math"/>
                </w:rPr>
              </m:ctrlPr>
            </m:sSubPr>
            <m:e>
              <m:sSub>
                <m:sSubPr>
                  <m:ctrlPr>
                    <w:rPr>
                      <w:rFonts w:ascii="Cambria Math" w:hAnsi="Cambria Math"/>
                    </w:rPr>
                  </m:ctrlPr>
                </m:sSubPr>
                <m:e>
                  <m:r>
                    <m:rPr>
                      <m:sty m:val="p"/>
                    </m:rPr>
                    <w:rPr>
                      <w:rFonts w:ascii="Cambria Math" w:hAnsi="Cambria Math"/>
                      <w:sz w:val="20"/>
                    </w:rPr>
                    <m:t>R</m:t>
                  </m:r>
                </m:e>
                <m:sub>
                  <m:r>
                    <m:rPr>
                      <m:sty m:val="p"/>
                    </m:rPr>
                    <w:rPr>
                      <w:rFonts w:ascii="Cambria Math" w:hAnsi="Cambria Math"/>
                      <w:sz w:val="20"/>
                    </w:rPr>
                    <m:t>a</m:t>
                  </m:r>
                </m:sub>
              </m:sSub>
              <m:r>
                <m:rPr>
                  <m:sty m:val="p"/>
                </m:rPr>
                <w:rPr>
                  <w:rFonts w:ascii="Cambria Math" w:hAnsi="Cambria Math"/>
                  <w:sz w:val="20"/>
                </w:rPr>
                <m:t>=</m:t>
              </m:r>
              <m:f>
                <m:fPr>
                  <m:ctrlPr>
                    <w:rPr>
                      <w:rFonts w:ascii="Cambria Math" w:hAnsi="Cambria Math"/>
                    </w:rPr>
                  </m:ctrlPr>
                </m:fPr>
                <m:num>
                  <m:sSub>
                    <m:sSubPr>
                      <m:ctrlPr>
                        <w:rPr>
                          <w:rFonts w:ascii="Cambria Math" w:hAnsi="Cambria Math"/>
                        </w:rPr>
                      </m:ctrlPr>
                    </m:sSubPr>
                    <m:e>
                      <m:r>
                        <m:rPr>
                          <m:sty m:val="p"/>
                        </m:rPr>
                        <w:rPr>
                          <w:rFonts w:ascii="Cambria Math" w:hAnsi="Cambria Math"/>
                          <w:sz w:val="20"/>
                        </w:rPr>
                        <m:t>Pa</m:t>
                      </m:r>
                    </m:e>
                    <m:sub>
                      <m:r>
                        <m:rPr>
                          <m:sty m:val="p"/>
                        </m:rPr>
                        <w:rPr>
                          <w:rFonts w:ascii="Cambria Math" w:hAnsi="Cambria Math"/>
                          <w:sz w:val="20"/>
                        </w:rPr>
                        <m:t>i</m:t>
                      </m:r>
                    </m:sub>
                  </m:sSub>
                </m:num>
                <m:den>
                  <m:sSub>
                    <m:sSubPr>
                      <m:ctrlPr>
                        <w:rPr>
                          <w:rFonts w:ascii="Cambria Math" w:hAnsi="Cambria Math"/>
                        </w:rPr>
                      </m:ctrlPr>
                    </m:sSubPr>
                    <m:e>
                      <m:r>
                        <m:rPr>
                          <m:sty m:val="p"/>
                        </m:rPr>
                        <w:rPr>
                          <w:rFonts w:ascii="Cambria Math" w:hAnsi="Cambria Math"/>
                          <w:sz w:val="20"/>
                        </w:rPr>
                        <m:t>Pa</m:t>
                      </m:r>
                    </m:e>
                    <m:sub>
                      <m:r>
                        <m:rPr>
                          <m:sty m:val="p"/>
                        </m:rPr>
                        <w:rPr>
                          <w:rFonts w:ascii="Cambria Math" w:hAnsi="Cambria Math"/>
                          <w:sz w:val="20"/>
                        </w:rPr>
                        <m:t>i-1</m:t>
                      </m:r>
                    </m:sub>
                  </m:sSub>
                </m:den>
              </m:f>
              <m:r>
                <m:rPr>
                  <m:sty m:val="p"/>
                </m:rPr>
                <w:rPr>
                  <w:rFonts w:ascii="Cambria Math" w:hAnsi="Cambria Math"/>
                  <w:sz w:val="20"/>
                </w:rPr>
                <m:t>-1,  R</m:t>
              </m:r>
            </m:e>
            <m:sub>
              <m:r>
                <m:rPr>
                  <m:sty m:val="p"/>
                </m:rPr>
                <w:rPr>
                  <w:rFonts w:ascii="Cambria Math" w:hAnsi="Cambria Math"/>
                  <w:sz w:val="20"/>
                </w:rPr>
                <m:t>m</m:t>
              </m:r>
            </m:sub>
          </m:sSub>
          <m:r>
            <m:rPr>
              <m:sty m:val="p"/>
            </m:rPr>
            <w:rPr>
              <w:rFonts w:ascii="Cambria Math" w:hAnsi="Cambria Math"/>
              <w:sz w:val="20"/>
            </w:rPr>
            <m:t>=</m:t>
          </m:r>
          <m:f>
            <m:fPr>
              <m:ctrlPr>
                <w:rPr>
                  <w:rFonts w:ascii="Cambria Math" w:hAnsi="Cambria Math"/>
                </w:rPr>
              </m:ctrlPr>
            </m:fPr>
            <m:num>
              <m:sSub>
                <m:sSubPr>
                  <m:ctrlPr>
                    <w:rPr>
                      <w:rFonts w:ascii="Cambria Math" w:hAnsi="Cambria Math"/>
                    </w:rPr>
                  </m:ctrlPr>
                </m:sSubPr>
                <m:e>
                  <m:r>
                    <m:rPr>
                      <m:sty m:val="p"/>
                    </m:rPr>
                    <w:rPr>
                      <w:rFonts w:ascii="Cambria Math" w:hAnsi="Cambria Math"/>
                      <w:sz w:val="20"/>
                    </w:rPr>
                    <m:t>Pm</m:t>
                  </m:r>
                </m:e>
                <m:sub>
                  <m:r>
                    <m:rPr>
                      <m:sty m:val="p"/>
                    </m:rPr>
                    <w:rPr>
                      <w:rFonts w:ascii="Cambria Math" w:hAnsi="Cambria Math"/>
                      <w:sz w:val="20"/>
                    </w:rPr>
                    <m:t>i</m:t>
                  </m:r>
                </m:sub>
              </m:sSub>
            </m:num>
            <m:den>
              <m:sSub>
                <m:sSubPr>
                  <m:ctrlPr>
                    <w:rPr>
                      <w:rFonts w:ascii="Cambria Math" w:hAnsi="Cambria Math"/>
                    </w:rPr>
                  </m:ctrlPr>
                </m:sSubPr>
                <m:e>
                  <m:r>
                    <m:rPr>
                      <m:sty m:val="p"/>
                    </m:rPr>
                    <w:rPr>
                      <w:rFonts w:ascii="Cambria Math" w:hAnsi="Cambria Math"/>
                      <w:sz w:val="20"/>
                    </w:rPr>
                    <m:t>Pm</m:t>
                  </m:r>
                </m:e>
                <m:sub>
                  <m:r>
                    <m:rPr>
                      <m:sty m:val="p"/>
                    </m:rPr>
                    <w:rPr>
                      <w:rFonts w:ascii="Cambria Math" w:hAnsi="Cambria Math"/>
                      <w:sz w:val="20"/>
                    </w:rPr>
                    <m:t>i-1</m:t>
                  </m:r>
                </m:sub>
              </m:sSub>
            </m:den>
          </m:f>
          <m:r>
            <m:rPr>
              <m:sty m:val="p"/>
            </m:rPr>
            <w:rPr>
              <w:rFonts w:ascii="Cambria Math" w:hAnsi="Cambria Math"/>
              <w:sz w:val="20"/>
            </w:rPr>
            <m:t xml:space="preserve">-1 </m:t>
          </m:r>
        </m:oMath>
      </m:oMathPara>
    </w:p>
    <w:p w14:paraId="7E6C5AC0" w14:textId="77777777" w:rsidR="000C1E0E" w:rsidRDefault="000C1E0E" w:rsidP="000C1E0E">
      <w:pPr>
        <w:ind w:left="708"/>
        <w:rPr>
          <w:rFonts w:ascii="Times New Roman" w:hAnsi="Times New Roman"/>
          <w:sz w:val="24"/>
          <w:szCs w:val="24"/>
        </w:rPr>
      </w:pPr>
    </w:p>
    <w:p w14:paraId="1DE27615" w14:textId="77777777" w:rsidR="000C1E0E" w:rsidRDefault="000C1E0E" w:rsidP="000C1E0E">
      <w:pPr>
        <w:spacing w:after="240" w:line="240" w:lineRule="auto"/>
        <w:ind w:left="708"/>
        <w:jc w:val="left"/>
        <w:rPr>
          <w:rFonts w:ascii="Times New Roman" w:hAnsi="Times New Roman"/>
          <w:sz w:val="24"/>
          <w:szCs w:val="24"/>
        </w:rPr>
      </w:pPr>
      <w:r>
        <w:rPr>
          <w:rFonts w:ascii="Times New Roman" w:hAnsi="Times New Roman"/>
          <w:sz w:val="24"/>
          <w:szCs w:val="24"/>
        </w:rPr>
        <w:t>где:</w:t>
      </w:r>
    </w:p>
    <w:p w14:paraId="13D8C08C" w14:textId="77777777" w:rsidR="000C1E0E" w:rsidRDefault="00C84628" w:rsidP="000C1E0E">
      <w:pPr>
        <w:spacing w:line="276" w:lineRule="auto"/>
        <w:ind w:left="708"/>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a</m:t>
            </m:r>
          </m:sub>
        </m:sSub>
      </m:oMath>
      <w:r w:rsidR="000C1E0E">
        <w:rPr>
          <w:rFonts w:ascii="Times New Roman" w:hAnsi="Times New Roman"/>
          <w:sz w:val="24"/>
          <w:szCs w:val="24"/>
        </w:rPr>
        <w:t xml:space="preserve">– доходность актива </w:t>
      </w:r>
    </w:p>
    <w:p w14:paraId="7D5F882F" w14:textId="77777777" w:rsidR="000C1E0E" w:rsidRDefault="00C84628" w:rsidP="000C1E0E">
      <w:pPr>
        <w:spacing w:line="276" w:lineRule="auto"/>
        <w:ind w:left="708"/>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Pa</m:t>
            </m:r>
          </m:e>
          <m:sub>
            <m:r>
              <m:rPr>
                <m:sty m:val="p"/>
              </m:rPr>
              <w:rPr>
                <w:rFonts w:ascii="Cambria Math" w:hAnsi="Cambria Math"/>
                <w:sz w:val="24"/>
                <w:szCs w:val="24"/>
              </w:rPr>
              <m:t>i</m:t>
            </m:r>
          </m:sub>
        </m:sSub>
      </m:oMath>
      <w:r w:rsidR="000C1E0E">
        <w:rPr>
          <w:rFonts w:ascii="Times New Roman" w:hAnsi="Times New Roman"/>
          <w:sz w:val="24"/>
          <w:szCs w:val="24"/>
        </w:rPr>
        <w:t xml:space="preserve"> – цена закрытия актива на дату </w:t>
      </w:r>
      <m:oMath>
        <m:r>
          <m:rPr>
            <m:sty m:val="p"/>
          </m:rPr>
          <w:rPr>
            <w:rFonts w:ascii="Cambria Math" w:hAnsi="Cambria Math"/>
            <w:sz w:val="24"/>
            <w:szCs w:val="24"/>
          </w:rPr>
          <m:t>i</m:t>
        </m:r>
      </m:oMath>
      <w:r w:rsidR="000C1E0E">
        <w:rPr>
          <w:rFonts w:ascii="Times New Roman" w:hAnsi="Times New Roman"/>
          <w:sz w:val="24"/>
          <w:szCs w:val="24"/>
        </w:rPr>
        <w:t>;</w:t>
      </w:r>
    </w:p>
    <w:p w14:paraId="54F85E4C" w14:textId="77777777" w:rsidR="000C1E0E" w:rsidRDefault="00C84628" w:rsidP="000C1E0E">
      <w:pPr>
        <w:spacing w:line="276" w:lineRule="auto"/>
        <w:ind w:left="708"/>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Pa</m:t>
            </m:r>
          </m:e>
          <m:sub>
            <m:r>
              <m:rPr>
                <m:sty m:val="p"/>
              </m:rPr>
              <w:rPr>
                <w:rFonts w:ascii="Cambria Math" w:hAnsi="Cambria Math"/>
                <w:sz w:val="24"/>
                <w:szCs w:val="24"/>
              </w:rPr>
              <m:t>i-1</m:t>
            </m:r>
          </m:sub>
        </m:sSub>
      </m:oMath>
      <w:r w:rsidR="000C1E0E">
        <w:rPr>
          <w:rFonts w:ascii="Times New Roman" w:hAnsi="Times New Roman"/>
          <w:sz w:val="24"/>
          <w:szCs w:val="24"/>
        </w:rPr>
        <w:t xml:space="preserve"> – предыдущая цена закрытия актива;</w:t>
      </w:r>
    </w:p>
    <w:p w14:paraId="574660C0" w14:textId="77777777" w:rsidR="000C1E0E" w:rsidRDefault="00C84628" w:rsidP="000C1E0E">
      <w:pPr>
        <w:spacing w:line="276" w:lineRule="auto"/>
        <w:ind w:left="708"/>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oMath>
      <w:r w:rsidR="000C1E0E">
        <w:rPr>
          <w:rFonts w:ascii="Times New Roman" w:hAnsi="Times New Roman"/>
          <w:sz w:val="24"/>
          <w:szCs w:val="24"/>
        </w:rPr>
        <w:t xml:space="preserve"> - доходность рыночного индикатора;</w:t>
      </w:r>
    </w:p>
    <w:p w14:paraId="41FA891B" w14:textId="77777777" w:rsidR="000C1E0E" w:rsidRDefault="00C84628" w:rsidP="000C1E0E">
      <w:pPr>
        <w:spacing w:line="276" w:lineRule="auto"/>
        <w:ind w:left="708"/>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i</m:t>
            </m:r>
          </m:sub>
        </m:sSub>
      </m:oMath>
      <w:r w:rsidR="000C1E0E">
        <w:rPr>
          <w:rFonts w:ascii="Times New Roman" w:hAnsi="Times New Roman"/>
          <w:sz w:val="24"/>
          <w:szCs w:val="24"/>
        </w:rPr>
        <w:t xml:space="preserve"> – значение рыночного индикатора на дату </w:t>
      </w:r>
      <m:oMath>
        <m:r>
          <m:rPr>
            <m:sty m:val="p"/>
          </m:rPr>
          <w:rPr>
            <w:rFonts w:ascii="Cambria Math" w:hAnsi="Cambria Math"/>
            <w:sz w:val="24"/>
            <w:szCs w:val="24"/>
          </w:rPr>
          <m:t>i</m:t>
        </m:r>
      </m:oMath>
      <w:r w:rsidR="000C1E0E">
        <w:rPr>
          <w:rFonts w:ascii="Times New Roman" w:hAnsi="Times New Roman"/>
          <w:sz w:val="24"/>
          <w:szCs w:val="24"/>
        </w:rPr>
        <w:t>;</w:t>
      </w:r>
    </w:p>
    <w:p w14:paraId="436AA51A" w14:textId="77777777" w:rsidR="000C1E0E" w:rsidRDefault="00C84628" w:rsidP="000C1E0E">
      <w:pPr>
        <w:spacing w:line="276" w:lineRule="auto"/>
        <w:ind w:left="708"/>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i-1</m:t>
            </m:r>
          </m:sub>
        </m:sSub>
      </m:oMath>
      <w:r w:rsidR="000C1E0E">
        <w:rPr>
          <w:rFonts w:ascii="Times New Roman" w:hAnsi="Times New Roman"/>
          <w:sz w:val="24"/>
          <w:szCs w:val="24"/>
        </w:rPr>
        <w:t xml:space="preserve"> – предыдущее значение рыночного индикатора;</w:t>
      </w:r>
    </w:p>
    <w:p w14:paraId="6D4CBD8B" w14:textId="77777777" w:rsidR="000C1E0E" w:rsidRDefault="000C1E0E" w:rsidP="000C1E0E">
      <w:pPr>
        <w:spacing w:line="276" w:lineRule="auto"/>
        <w:ind w:left="708"/>
        <w:rPr>
          <w:rFonts w:ascii="Times New Roman" w:hAnsi="Times New Roman"/>
          <w:sz w:val="24"/>
          <w:szCs w:val="24"/>
        </w:rPr>
      </w:pPr>
      <m:oMath>
        <m:r>
          <m:rPr>
            <m:sty m:val="p"/>
          </m:rPr>
          <w:rPr>
            <w:rFonts w:ascii="Cambria Math" w:hAnsi="Cambria Math"/>
            <w:sz w:val="24"/>
            <w:szCs w:val="24"/>
          </w:rPr>
          <m:t>i=1…N</m:t>
        </m:r>
      </m:oMath>
      <w:r>
        <w:rPr>
          <w:rFonts w:ascii="Times New Roman" w:hAnsi="Times New Roman"/>
          <w:sz w:val="24"/>
          <w:szCs w:val="24"/>
        </w:rPr>
        <w:t>, торговые дни, предшествующие дате определения справедливой стоимости. Для расчета доходности актива и рыночного индикатора 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34107B4D"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При использовании модели CAPM в целях расчета коэффициента «бета» для акций российских эмитентов применяются значения цены закрытия на Московской Бирже.</w:t>
      </w:r>
    </w:p>
    <w:p w14:paraId="775711E9"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 xml:space="preserve">Полученное значение коэффициента «бета» округляется по правилам математического округления до пяти десятичных знаков. </w:t>
      </w:r>
    </w:p>
    <w:p w14:paraId="625708C9"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 xml:space="preserve">Показатели  </w:t>
      </w: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a</m:t>
            </m:r>
          </m:sub>
        </m:sSub>
      </m:oMath>
      <w:r>
        <w:rPr>
          <w:rFonts w:ascii="Times New Roman" w:hAnsi="Times New Roman"/>
          <w:sz w:val="24"/>
          <w:szCs w:val="24"/>
        </w:rPr>
        <w:t xml:space="preserve"> и </w:t>
      </w: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oMath>
      <w:r>
        <w:rPr>
          <w:rFonts w:ascii="Times New Roman" w:hAnsi="Times New Roman"/>
          <w:sz w:val="24"/>
          <w:szCs w:val="24"/>
        </w:rPr>
        <w:t xml:space="preserve"> рассчитываются без промежуточных округлений.</w:t>
      </w:r>
    </w:p>
    <w:p w14:paraId="3FF8EB80"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Цена закрытия актива на дату определения справедливой стоимости в модели не учитывается.</w:t>
      </w:r>
    </w:p>
    <w:p w14:paraId="4B6F573B"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При отсутствии цены закрытия в какой-либо торговый день в периоде 45 торговых дней, на дату расчета коэффициента «бета», информация о значении рыночного индикатора и безрисковой ставки за этот торговый день в расчете не учитывается.</w:t>
      </w:r>
    </w:p>
    <w:p w14:paraId="09724216"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При наличии цены закрытия и отсутствии значения рыночного индикатора в какой-либо торговый день в периоде 45 торговых дней, на дату расчета коэффициента «бета», значение рыночного индикатора за этот торговый день принимается равным последнему известному.</w:t>
      </w:r>
    </w:p>
    <w:p w14:paraId="7F5DFCB0" w14:textId="77777777" w:rsidR="000C1E0E" w:rsidRDefault="000C1E0E" w:rsidP="000C1E0E">
      <w:pPr>
        <w:ind w:left="708"/>
        <w:rPr>
          <w:rFonts w:ascii="Times New Roman" w:hAnsi="Times New Roman"/>
          <w:sz w:val="24"/>
          <w:szCs w:val="24"/>
        </w:rPr>
      </w:pPr>
      <w:r>
        <w:rPr>
          <w:rFonts w:ascii="Times New Roman" w:hAnsi="Times New Roman"/>
          <w:sz w:val="24"/>
          <w:szCs w:val="24"/>
        </w:rPr>
        <w:t>При отсутствии значения безрисковой ставки на дату расчета, значение безрисковой ставки за этот день принимается равным последнему известному.</w:t>
      </w:r>
    </w:p>
    <w:p w14:paraId="53B3DCB4" w14:textId="77777777" w:rsidR="000C1E0E" w:rsidRDefault="000C1E0E" w:rsidP="000C1E0E">
      <w:pPr>
        <w:ind w:left="708"/>
        <w:rPr>
          <w:rFonts w:ascii="Times New Roman" w:hAnsi="Times New Roman"/>
          <w:sz w:val="24"/>
          <w:szCs w:val="24"/>
        </w:rPr>
      </w:pPr>
      <w:r>
        <w:rPr>
          <w:rFonts w:ascii="Times New Roman" w:hAnsi="Times New Roman"/>
          <w:sz w:val="24"/>
          <w:szCs w:val="24"/>
        </w:rPr>
        <w:t>С даты возникновения оснований для применения модели CAPM до даты прекращения оснований для применения модели CAPM используется информация только той биржи, которая определена на дату возникновения оснований для применения модели CAPM. К такой информации относится следующие значения:</w:t>
      </w:r>
    </w:p>
    <w:p w14:paraId="3626CD78" w14:textId="77777777" w:rsidR="000C1E0E" w:rsidRDefault="000C1E0E" w:rsidP="000C1E0E">
      <w:pPr>
        <w:ind w:left="709"/>
        <w:rPr>
          <w:rFonts w:ascii="Times New Roman" w:hAnsi="Times New Roman"/>
          <w:sz w:val="24"/>
          <w:szCs w:val="24"/>
        </w:rPr>
      </w:pPr>
      <w:r>
        <w:rPr>
          <w:rFonts w:ascii="Times New Roman" w:hAnsi="Times New Roman"/>
          <w:sz w:val="24"/>
          <w:szCs w:val="24"/>
        </w:rPr>
        <w:t>- цена закрытия;</w:t>
      </w:r>
    </w:p>
    <w:p w14:paraId="09A5338A" w14:textId="77777777" w:rsidR="000C1E0E" w:rsidRDefault="000C1E0E" w:rsidP="000C1E0E">
      <w:pPr>
        <w:ind w:left="709"/>
        <w:rPr>
          <w:rFonts w:ascii="Times New Roman" w:hAnsi="Times New Roman"/>
          <w:sz w:val="24"/>
          <w:szCs w:val="24"/>
        </w:rPr>
      </w:pPr>
      <w:r>
        <w:rPr>
          <w:rFonts w:ascii="Times New Roman" w:hAnsi="Times New Roman"/>
          <w:sz w:val="24"/>
          <w:szCs w:val="24"/>
        </w:rPr>
        <w:t>-  значение рыночного индикатора.</w:t>
      </w:r>
    </w:p>
    <w:p w14:paraId="21B6D86D" w14:textId="77777777" w:rsidR="000C1E0E" w:rsidRDefault="000C1E0E" w:rsidP="000C1E0E">
      <w:pPr>
        <w:spacing w:line="276" w:lineRule="auto"/>
        <w:ind w:left="708"/>
        <w:rPr>
          <w:rFonts w:ascii="Times New Roman" w:hAnsi="Times New Roman"/>
          <w:b/>
          <w:sz w:val="24"/>
          <w:szCs w:val="24"/>
        </w:rPr>
      </w:pPr>
      <w:r>
        <w:rPr>
          <w:sz w:val="20"/>
        </w:rPr>
        <w:br/>
      </w:r>
      <w:r>
        <w:rPr>
          <w:rFonts w:ascii="Times New Roman" w:hAnsi="Times New Roman"/>
          <w:sz w:val="24"/>
          <w:szCs w:val="24"/>
        </w:rPr>
        <w:t>б)</w:t>
      </w:r>
      <w:r>
        <w:rPr>
          <w:rFonts w:ascii="Times New Roman" w:hAnsi="Times New Roman"/>
          <w:b/>
          <w:sz w:val="24"/>
          <w:szCs w:val="24"/>
        </w:rPr>
        <w:t xml:space="preserve"> Для облигаций российских эмитентов:</w:t>
      </w:r>
    </w:p>
    <w:p w14:paraId="7E999646" w14:textId="77777777" w:rsidR="000C1E0E" w:rsidRDefault="000C1E0E" w:rsidP="000C1E0E">
      <w:pPr>
        <w:autoSpaceDE w:val="0"/>
        <w:autoSpaceDN w:val="0"/>
        <w:adjustRightInd w:val="0"/>
        <w:spacing w:line="240" w:lineRule="auto"/>
        <w:ind w:left="709"/>
        <w:rPr>
          <w:rFonts w:ascii="Times New Roman" w:hAnsi="Times New Roman"/>
          <w:sz w:val="24"/>
          <w:szCs w:val="24"/>
        </w:rPr>
      </w:pPr>
      <w:r>
        <w:rPr>
          <w:rFonts w:ascii="Times New Roman" w:hAnsi="Times New Roman"/>
          <w:sz w:val="24"/>
          <w:szCs w:val="24"/>
        </w:rPr>
        <w:t>Цена, определенная по модели оценки в соответствии с Приложением №1 к настоящим Правилам (Уровень 2).</w:t>
      </w:r>
    </w:p>
    <w:p w14:paraId="652702F9" w14:textId="77777777" w:rsidR="000C1E0E" w:rsidRDefault="000C1E0E" w:rsidP="000C1E0E">
      <w:pPr>
        <w:autoSpaceDE w:val="0"/>
        <w:autoSpaceDN w:val="0"/>
        <w:adjustRightInd w:val="0"/>
        <w:spacing w:line="240" w:lineRule="auto"/>
        <w:ind w:left="709"/>
        <w:rPr>
          <w:rFonts w:ascii="Times New Roman" w:hAnsi="Times New Roman"/>
          <w:b/>
          <w:sz w:val="24"/>
          <w:szCs w:val="24"/>
        </w:rPr>
      </w:pPr>
    </w:p>
    <w:p w14:paraId="24A9FAED"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b/>
          <w:sz w:val="24"/>
          <w:szCs w:val="24"/>
          <w:u w:val="single"/>
        </w:rPr>
        <w:t>3 уровень цен:</w:t>
      </w:r>
      <w:r>
        <w:rPr>
          <w:rFonts w:ascii="Times New Roman" w:hAnsi="Times New Roman"/>
          <w:sz w:val="24"/>
          <w:szCs w:val="24"/>
        </w:rPr>
        <w:t xml:space="preserve"> </w:t>
      </w:r>
    </w:p>
    <w:p w14:paraId="280C223A"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Цена, на основании отчета оценщика, с даты оценки которого прошло не более 6 месяцев на дату определения СЧА. </w:t>
      </w:r>
    </w:p>
    <w:p w14:paraId="7489D386" w14:textId="77777777" w:rsidR="000C1E0E" w:rsidRDefault="000C1E0E" w:rsidP="000C1E0E">
      <w:pPr>
        <w:autoSpaceDE w:val="0"/>
        <w:autoSpaceDN w:val="0"/>
        <w:adjustRightInd w:val="0"/>
        <w:spacing w:line="240" w:lineRule="auto"/>
        <w:ind w:left="709"/>
        <w:rPr>
          <w:rFonts w:ascii="Times New Roman" w:hAnsi="Times New Roman"/>
          <w:sz w:val="24"/>
          <w:szCs w:val="24"/>
        </w:rPr>
      </w:pPr>
      <w:r>
        <w:rPr>
          <w:rFonts w:ascii="Times New Roman" w:hAnsi="Times New Roman"/>
          <w:sz w:val="24"/>
          <w:szCs w:val="24"/>
        </w:rPr>
        <w:t>Для облигаций российских эмитентов цена, определенная по модели оценки в соответствии с Приложением №1 к настоящим Правилам (Уровень 3).</w:t>
      </w:r>
    </w:p>
    <w:p w14:paraId="6684AE51" w14:textId="77777777" w:rsidR="000C1E0E" w:rsidRDefault="000C1E0E" w:rsidP="000C1E0E">
      <w:pPr>
        <w:autoSpaceDE w:val="0"/>
        <w:autoSpaceDN w:val="0"/>
        <w:adjustRightInd w:val="0"/>
        <w:spacing w:line="240" w:lineRule="auto"/>
        <w:ind w:left="709"/>
        <w:rPr>
          <w:rFonts w:ascii="Times New Roman" w:hAnsi="Times New Roman"/>
          <w:sz w:val="24"/>
          <w:szCs w:val="24"/>
        </w:rPr>
      </w:pPr>
    </w:p>
    <w:p w14:paraId="0B20562F"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Справедливая стоимость ценных бумаг иностранных эмитентов (в том числе паи иностранных инвестиционных фондов) определяется в следующем порядке:</w:t>
      </w:r>
    </w:p>
    <w:p w14:paraId="72970D1B" w14:textId="77777777" w:rsidR="000C1E0E" w:rsidRDefault="000C1E0E" w:rsidP="000C1E0E">
      <w:pPr>
        <w:keepNext/>
        <w:widowControl w:val="0"/>
        <w:spacing w:before="60" w:after="60" w:line="240" w:lineRule="auto"/>
        <w:ind w:left="720"/>
        <w:outlineLvl w:val="1"/>
        <w:rPr>
          <w:rFonts w:ascii="Times New Roman" w:hAnsi="Times New Roman"/>
          <w:b/>
          <w:sz w:val="24"/>
          <w:szCs w:val="24"/>
        </w:rPr>
      </w:pPr>
      <w:r>
        <w:rPr>
          <w:rFonts w:ascii="Times New Roman" w:hAnsi="Times New Roman"/>
          <w:b/>
          <w:sz w:val="24"/>
          <w:szCs w:val="24"/>
          <w:u w:val="single"/>
        </w:rPr>
        <w:t>1 уровень цен</w:t>
      </w:r>
      <w:r>
        <w:rPr>
          <w:rFonts w:ascii="Times New Roman" w:hAnsi="Times New Roman"/>
          <w:b/>
          <w:sz w:val="24"/>
          <w:szCs w:val="24"/>
        </w:rPr>
        <w:t>:</w:t>
      </w:r>
    </w:p>
    <w:p w14:paraId="27DEC251"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Если для определения справедливой стоимости используются цены основного рынка за последний торговый день из числа активных российских бирж, то используются цены, выбранные в следующем порядке (убывания приоритета):</w:t>
      </w:r>
    </w:p>
    <w:p w14:paraId="27D15A7F" w14:textId="77777777" w:rsidR="000C1E0E" w:rsidRDefault="000C1E0E" w:rsidP="000C1E0E">
      <w:pPr>
        <w:pStyle w:val="afc"/>
        <w:keepNext/>
        <w:widowControl w:val="0"/>
        <w:numPr>
          <w:ilvl w:val="0"/>
          <w:numId w:val="6"/>
        </w:numPr>
        <w:spacing w:before="60" w:after="60" w:line="240" w:lineRule="auto"/>
        <w:outlineLvl w:val="1"/>
        <w:rPr>
          <w:rFonts w:ascii="Times New Roman" w:hAnsi="Times New Roman"/>
          <w:sz w:val="24"/>
          <w:szCs w:val="24"/>
        </w:rPr>
      </w:pPr>
      <w:r>
        <w:rPr>
          <w:rFonts w:ascii="Times New Roman" w:hAnsi="Times New Roman"/>
          <w:sz w:val="24"/>
          <w:szCs w:val="24"/>
        </w:rPr>
        <w:t>цена спроса (bid) на момент окончания торговой сессии российской биржи на дату определения СЧА при условии подтверждения ее корректности;</w:t>
      </w:r>
    </w:p>
    <w:p w14:paraId="25896F0A"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w:t>
      </w:r>
      <w:r>
        <w:rPr>
          <w:rFonts w:ascii="Times New Roman" w:hAnsi="Times New Roman"/>
          <w:sz w:val="24"/>
          <w:szCs w:val="24"/>
          <w:lang w:val="en-US"/>
        </w:rPr>
        <w:t> </w:t>
      </w:r>
      <w:r>
        <w:rPr>
          <w:rFonts w:ascii="Times New Roman" w:hAnsi="Times New Roman"/>
          <w:sz w:val="24"/>
          <w:szCs w:val="24"/>
        </w:rPr>
        <w:t>же</w:t>
      </w:r>
      <w:r>
        <w:rPr>
          <w:rFonts w:ascii="Times New Roman" w:hAnsi="Times New Roman"/>
          <w:sz w:val="24"/>
          <w:szCs w:val="24"/>
          <w:lang w:val="en-US"/>
        </w:rPr>
        <w:t> </w:t>
      </w:r>
      <w:r>
        <w:rPr>
          <w:rFonts w:ascii="Times New Roman" w:hAnsi="Times New Roman"/>
          <w:sz w:val="24"/>
          <w:szCs w:val="24"/>
        </w:rPr>
        <w:t>дату</w:t>
      </w:r>
      <w:r>
        <w:rPr>
          <w:rFonts w:ascii="Times New Roman" w:hAnsi="Times New Roman"/>
          <w:sz w:val="24"/>
          <w:szCs w:val="24"/>
          <w:lang w:val="en-US"/>
        </w:rPr>
        <w:t> </w:t>
      </w:r>
      <w:r>
        <w:rPr>
          <w:rFonts w:ascii="Times New Roman" w:hAnsi="Times New Roman"/>
          <w:sz w:val="24"/>
          <w:szCs w:val="24"/>
        </w:rPr>
        <w:t>этой</w:t>
      </w:r>
      <w:r>
        <w:rPr>
          <w:rFonts w:ascii="Times New Roman" w:hAnsi="Times New Roman"/>
          <w:sz w:val="24"/>
          <w:szCs w:val="24"/>
          <w:lang w:val="en-US"/>
        </w:rPr>
        <w:t> </w:t>
      </w:r>
      <w:r>
        <w:rPr>
          <w:rFonts w:ascii="Times New Roman" w:hAnsi="Times New Roman"/>
          <w:sz w:val="24"/>
          <w:szCs w:val="24"/>
        </w:rPr>
        <w:t>же</w:t>
      </w:r>
      <w:r>
        <w:rPr>
          <w:rFonts w:ascii="Times New Roman" w:hAnsi="Times New Roman"/>
          <w:sz w:val="24"/>
          <w:szCs w:val="24"/>
          <w:lang w:val="en-US"/>
        </w:rPr>
        <w:t> </w:t>
      </w:r>
      <w:r>
        <w:rPr>
          <w:rFonts w:ascii="Times New Roman" w:hAnsi="Times New Roman"/>
          <w:sz w:val="24"/>
          <w:szCs w:val="24"/>
        </w:rPr>
        <w:t xml:space="preserve">биржи;  </w:t>
      </w:r>
    </w:p>
    <w:p w14:paraId="24758F40"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b) 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(bid) и предложению (</w:t>
      </w:r>
      <w:r>
        <w:rPr>
          <w:rFonts w:ascii="Times New Roman" w:hAnsi="Times New Roman"/>
          <w:sz w:val="24"/>
          <w:szCs w:val="24"/>
          <w:lang w:val="en-US"/>
        </w:rPr>
        <w:t>ask</w:t>
      </w:r>
      <w:r>
        <w:rPr>
          <w:rFonts w:ascii="Times New Roman" w:hAnsi="Times New Roman"/>
          <w:sz w:val="24"/>
          <w:szCs w:val="24"/>
        </w:rPr>
        <w:t>) на указанную дату;</w:t>
      </w:r>
    </w:p>
    <w:p w14:paraId="4D056211"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с) цена закрытия на момент окончания торговой сессии российской биржи на дату определения СЧА при условии подтверждения ее корректности.</w:t>
      </w:r>
    </w:p>
    <w:p w14:paraId="628FFB84"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Цена закрытия признается корректной, если раскрыты данные об объеме торгов за день и объем торгов не равен нулю с проверкой цены закрытия (CLOSE) &lt; &gt; 0.</w:t>
      </w:r>
    </w:p>
    <w:p w14:paraId="48B0F2E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Если для определения справедливой стоимости используются цены основного рынка за последний торговый день из числа активных иностранных бирж, то используются цены, выбранные в следующем порядке (убывания приоритета):</w:t>
      </w:r>
    </w:p>
    <w:p w14:paraId="4762B293" w14:textId="59F212B8"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a) цена спроса (bid last) на торг</w:t>
      </w:r>
      <w:r w:rsidR="00E06251">
        <w:rPr>
          <w:rFonts w:ascii="Times New Roman" w:hAnsi="Times New Roman"/>
          <w:sz w:val="24"/>
          <w:szCs w:val="24"/>
        </w:rPr>
        <w:t xml:space="preserve">овой площадке иностранной биржи </w:t>
      </w:r>
      <w:r>
        <w:rPr>
          <w:rFonts w:ascii="Times New Roman" w:hAnsi="Times New Roman"/>
          <w:sz w:val="24"/>
          <w:szCs w:val="24"/>
        </w:rPr>
        <w:t xml:space="preserve">на дату определения СЧА; </w:t>
      </w:r>
    </w:p>
    <w:p w14:paraId="30698F83"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Цена спроса (bid last),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14:paraId="5CB373D3" w14:textId="30AAE36D"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b) цена закрытия (</w:t>
      </w:r>
      <w:r>
        <w:rPr>
          <w:rFonts w:ascii="Times New Roman" w:hAnsi="Times New Roman"/>
          <w:sz w:val="24"/>
          <w:szCs w:val="24"/>
          <w:lang w:val="en-US"/>
        </w:rPr>
        <w:t>px</w:t>
      </w:r>
      <w:r>
        <w:rPr>
          <w:rFonts w:ascii="Times New Roman" w:hAnsi="Times New Roman"/>
          <w:sz w:val="24"/>
          <w:szCs w:val="24"/>
        </w:rPr>
        <w:t>_</w:t>
      </w:r>
      <w:r>
        <w:rPr>
          <w:rFonts w:ascii="Times New Roman" w:hAnsi="Times New Roman"/>
          <w:sz w:val="24"/>
          <w:szCs w:val="24"/>
          <w:lang w:val="en-US"/>
        </w:rPr>
        <w:t>last</w:t>
      </w:r>
      <w:r w:rsidR="00E06251">
        <w:rPr>
          <w:rFonts w:ascii="Times New Roman" w:hAnsi="Times New Roman"/>
          <w:sz w:val="24"/>
          <w:szCs w:val="24"/>
        </w:rPr>
        <w:t>) на</w:t>
      </w:r>
      <w:r>
        <w:rPr>
          <w:rFonts w:ascii="Times New Roman" w:hAnsi="Times New Roman"/>
          <w:sz w:val="24"/>
          <w:szCs w:val="24"/>
        </w:rPr>
        <w:t xml:space="preserve"> торговой площадке иностранной биржи  на дату определения СЧА при условии подтверждения ее корректности;</w:t>
      </w:r>
    </w:p>
    <w:p w14:paraId="6B6F3A5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Цена закрытия признается корректной, если раскрыты данные об объеме торгов за день и объем торгов не равен нулю.</w:t>
      </w:r>
    </w:p>
    <w:p w14:paraId="251D3F5F" w14:textId="77777777" w:rsidR="000C1E0E" w:rsidRDefault="000C1E0E" w:rsidP="000C1E0E">
      <w:pPr>
        <w:keepNext/>
        <w:widowControl w:val="0"/>
        <w:spacing w:before="60" w:after="60" w:line="240" w:lineRule="auto"/>
        <w:ind w:left="720"/>
        <w:outlineLvl w:val="1"/>
        <w:rPr>
          <w:rFonts w:ascii="Times New Roman" w:hAnsi="Times New Roman"/>
          <w:b/>
          <w:sz w:val="24"/>
          <w:szCs w:val="24"/>
        </w:rPr>
      </w:pPr>
      <w:r>
        <w:rPr>
          <w:rFonts w:ascii="Times New Roman" w:hAnsi="Times New Roman"/>
          <w:b/>
          <w:sz w:val="24"/>
          <w:szCs w:val="24"/>
          <w:u w:val="single"/>
        </w:rPr>
        <w:t>2 уровень цен</w:t>
      </w:r>
      <w:r>
        <w:rPr>
          <w:rFonts w:ascii="Times New Roman" w:hAnsi="Times New Roman"/>
          <w:b/>
          <w:sz w:val="24"/>
          <w:szCs w:val="24"/>
        </w:rPr>
        <w:t xml:space="preserve">: </w:t>
      </w:r>
    </w:p>
    <w:p w14:paraId="6E14E26C" w14:textId="77777777" w:rsidR="000C1E0E" w:rsidRDefault="000C1E0E" w:rsidP="000C1E0E">
      <w:pPr>
        <w:keepNext/>
        <w:widowControl w:val="0"/>
        <w:spacing w:before="60" w:after="60" w:line="240" w:lineRule="auto"/>
        <w:ind w:left="720"/>
        <w:outlineLvl w:val="1"/>
        <w:rPr>
          <w:rFonts w:ascii="Times New Roman" w:hAnsi="Times New Roman"/>
          <w:b/>
          <w:sz w:val="24"/>
          <w:szCs w:val="24"/>
        </w:rPr>
      </w:pPr>
      <w:r>
        <w:rPr>
          <w:rFonts w:ascii="Times New Roman" w:hAnsi="Times New Roman"/>
          <w:sz w:val="24"/>
          <w:szCs w:val="24"/>
        </w:rPr>
        <w:t>а)</w:t>
      </w:r>
      <w:r>
        <w:rPr>
          <w:rFonts w:ascii="Times New Roman" w:hAnsi="Times New Roman"/>
          <w:b/>
          <w:sz w:val="24"/>
          <w:szCs w:val="24"/>
        </w:rPr>
        <w:t xml:space="preserve"> Для акций иностранный эмитентов.</w:t>
      </w:r>
    </w:p>
    <w:p w14:paraId="323F2AF1"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Справедливая стоимость акций иностранных эмитентов, обращающихся на российских и иностранных фондовых биржах, определяется аналогично акциям российских эмитентов в соответствии с п.3.10.2 (2 уровень цен) с учетом следующих особенностей:</w:t>
      </w:r>
    </w:p>
    <w:p w14:paraId="3C5F33FF" w14:textId="77777777" w:rsidR="000C1E0E" w:rsidRDefault="000C1E0E" w:rsidP="000C1E0E">
      <w:pPr>
        <w:ind w:left="709"/>
        <w:rPr>
          <w:rFonts w:ascii="Times New Roman" w:hAnsi="Times New Roman"/>
          <w:sz w:val="24"/>
          <w:szCs w:val="24"/>
        </w:rPr>
      </w:pPr>
      <w:r>
        <w:rPr>
          <w:rFonts w:ascii="Times New Roman" w:hAnsi="Times New Roman"/>
          <w:sz w:val="24"/>
          <w:szCs w:val="24"/>
        </w:rPr>
        <w:t xml:space="preserve">- для акций иностранных эмитентов в качестве безрисковой ставки доходности применяется ставка </w:t>
      </w:r>
      <w:r>
        <w:rPr>
          <w:rFonts w:ascii="Times New Roman" w:hAnsi="Times New Roman"/>
          <w:b/>
          <w:sz w:val="24"/>
          <w:szCs w:val="24"/>
        </w:rPr>
        <w:t>по государственным бумагам, «страна риска» которых соответствует «стране риска» оцениваемой акции</w:t>
      </w:r>
      <w:r>
        <w:rPr>
          <w:rFonts w:ascii="Times New Roman" w:hAnsi="Times New Roman"/>
          <w:sz w:val="24"/>
          <w:szCs w:val="24"/>
        </w:rPr>
        <w:t>.</w:t>
      </w:r>
    </w:p>
    <w:p w14:paraId="2B5A8C50"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 xml:space="preserve">В случае, если валюта рыночного индикатора отличается от валюты оцениваемой ценной бумаги, расчет производится с учетом курсовой разницы по курсу Банка России.  </w:t>
      </w:r>
    </w:p>
    <w:p w14:paraId="4BC5A843"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 при использовании модели CAPM в целях расчета коэффициента «бета» применяются значения цены закрытия биржи, на которой определена надлежащая котировка уровня 1 иерархии справедливой стоимости на дату, предшествующей дате возникновения оснований для применения модели CAPМ.</w:t>
      </w:r>
    </w:p>
    <w:p w14:paraId="78D4EBF3"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При отсутствии объема торгов на дату определения СЧА за исключением случаев, указанных в п.3.9.3 настоящих Правил, для определения справедливой стоимости акций и депозитарных расписок, обращающихся на иностранных фондовых биржах, применяется усредненное за последние десять торговых дней значение двусторонней котировки, рассчитанное по следующей формуле:</w:t>
      </w:r>
    </w:p>
    <w:p w14:paraId="1B6CD2C6" w14:textId="77777777" w:rsidR="000C1E0E" w:rsidRDefault="000C1E0E" w:rsidP="000C1E0E">
      <w:pPr>
        <w:ind w:left="709"/>
        <w:jc w:val="left"/>
        <w:rPr>
          <w:rFonts w:ascii="Times New Roman" w:hAnsi="Times New Roman"/>
          <w:sz w:val="24"/>
          <w:szCs w:val="24"/>
        </w:rPr>
      </w:pPr>
      <w:r>
        <w:rPr>
          <w:noProof/>
        </w:rPr>
        <w:drawing>
          <wp:inline distT="0" distB="0" distL="0" distR="0" wp14:anchorId="144F9E78" wp14:editId="4D7F1E36">
            <wp:extent cx="4876800" cy="48577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0" cy="485775"/>
                    </a:xfrm>
                    <a:prstGeom prst="rect">
                      <a:avLst/>
                    </a:prstGeom>
                    <a:noFill/>
                    <a:ln>
                      <a:noFill/>
                    </a:ln>
                  </pic:spPr>
                </pic:pic>
              </a:graphicData>
            </a:graphic>
          </wp:inline>
        </w:drawing>
      </w:r>
    </w:p>
    <w:p w14:paraId="38DEB565"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где n – дата определения СЧА</w:t>
      </w:r>
    </w:p>
    <w:p w14:paraId="52E1B7C3" w14:textId="1B8490E4"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PX_MID   – среднее значение между ценой спроса PX_BID и предложения PX_ASK за последние 10 торговых дней</w:t>
      </w:r>
    </w:p>
    <w:p w14:paraId="38538609" w14:textId="03860CB5"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PX_BID - наибольшая цена спроса, опубликованная информационным ресурсом Bloomberg,</w:t>
      </w:r>
    </w:p>
    <w:p w14:paraId="7749EB12" w14:textId="77777777" w:rsidR="000C1E0E" w:rsidRDefault="000C1E0E" w:rsidP="000C1E0E">
      <w:pPr>
        <w:spacing w:line="276" w:lineRule="auto"/>
        <w:ind w:left="708"/>
        <w:jc w:val="left"/>
        <w:rPr>
          <w:rFonts w:ascii="Times New Roman" w:hAnsi="Times New Roman"/>
          <w:sz w:val="24"/>
          <w:szCs w:val="24"/>
        </w:rPr>
      </w:pPr>
      <w:r>
        <w:rPr>
          <w:rFonts w:ascii="Times New Roman" w:hAnsi="Times New Roman"/>
          <w:sz w:val="24"/>
          <w:szCs w:val="24"/>
        </w:rPr>
        <w:t>PX_ASK – наименьшая цена предложения, опубликованная информационным ресурсом Bloomberg.</w:t>
      </w:r>
      <w:r>
        <w:rPr>
          <w:rFonts w:ascii="Times New Roman" w:hAnsi="Times New Roman"/>
          <w:sz w:val="24"/>
          <w:szCs w:val="24"/>
        </w:rPr>
        <w:br/>
        <w:t>Данная цена считается корректной при соблюдении одновременно следующих условий:</w:t>
      </w:r>
      <w:r>
        <w:rPr>
          <w:rFonts w:ascii="Times New Roman" w:hAnsi="Times New Roman"/>
          <w:sz w:val="24"/>
          <w:szCs w:val="24"/>
        </w:rPr>
        <w:br/>
        <w:t>- в течение 10 предшествующих торговых дней непрерывно наблюдались двусторонние котировки, внутридневное количество которых не менее 10 - спред между двусторонними котировками на дату определения СЧА составляет менее 20%.</w:t>
      </w:r>
    </w:p>
    <w:p w14:paraId="69CC0FA4" w14:textId="77777777" w:rsidR="000C1E0E" w:rsidRDefault="000C1E0E" w:rsidP="000C1E0E">
      <w:pPr>
        <w:spacing w:line="276" w:lineRule="auto"/>
        <w:ind w:left="708"/>
        <w:rPr>
          <w:rFonts w:ascii="Times New Roman" w:hAnsi="Times New Roman"/>
          <w:b/>
          <w:sz w:val="24"/>
          <w:szCs w:val="24"/>
        </w:rPr>
      </w:pPr>
      <w:r>
        <w:rPr>
          <w:rFonts w:ascii="Times New Roman" w:hAnsi="Times New Roman"/>
          <w:sz w:val="24"/>
          <w:szCs w:val="24"/>
        </w:rPr>
        <w:t>б)</w:t>
      </w:r>
      <w:r>
        <w:rPr>
          <w:rFonts w:ascii="Times New Roman" w:hAnsi="Times New Roman"/>
          <w:b/>
          <w:sz w:val="24"/>
          <w:szCs w:val="24"/>
        </w:rPr>
        <w:t xml:space="preserve"> Для облигаций внешних облигационных займов Российской Федерации, еврооблигаций иностранных эмитентов, долговых ценных бумаг иностранных государств, ценных бумаг международной финансовой организации.</w:t>
      </w:r>
    </w:p>
    <w:p w14:paraId="5480FB64"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Справедливая стоимость облигаций внешних облигационных займов Российской Федерации, еврооблигаций иностранных эмитентов, долговых ценных бумаг иностранных государств, ценных бумаг международной финансовой организации определяется в следующем порядке:</w:t>
      </w:r>
    </w:p>
    <w:p w14:paraId="73390BFC"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1 уровень цен: не применяется, за исключением случаев, указанных в пункте 3.9.2.</w:t>
      </w:r>
    </w:p>
    <w:p w14:paraId="6E8DA886"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2 уровень цен: в порядке убывания приоритета применяется:</w:t>
      </w:r>
    </w:p>
    <w:p w14:paraId="4B86FEC3"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 цена закрытия торгового дня BGN (</w:t>
      </w:r>
      <w:r>
        <w:rPr>
          <w:rFonts w:ascii="Times New Roman" w:hAnsi="Times New Roman"/>
          <w:sz w:val="24"/>
          <w:szCs w:val="24"/>
          <w:lang w:val="en-US"/>
        </w:rPr>
        <w:t>l</w:t>
      </w:r>
      <w:r>
        <w:rPr>
          <w:rFonts w:ascii="Times New Roman" w:hAnsi="Times New Roman"/>
          <w:sz w:val="24"/>
          <w:szCs w:val="24"/>
        </w:rPr>
        <w:t xml:space="preserve">ast </w:t>
      </w:r>
      <w:r>
        <w:rPr>
          <w:rFonts w:ascii="Times New Roman" w:hAnsi="Times New Roman"/>
          <w:sz w:val="24"/>
          <w:szCs w:val="24"/>
          <w:lang w:val="en-US"/>
        </w:rPr>
        <w:t>p</w:t>
      </w:r>
      <w:r>
        <w:rPr>
          <w:rFonts w:ascii="Times New Roman" w:hAnsi="Times New Roman"/>
          <w:sz w:val="24"/>
          <w:szCs w:val="24"/>
        </w:rPr>
        <w:t xml:space="preserve">rice), рассчитанная информационным агентством "Блумберг" (Bloomberg); </w:t>
      </w:r>
    </w:p>
    <w:p w14:paraId="14E84FD7"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 цена BVAL (</w:t>
      </w:r>
      <w:r>
        <w:rPr>
          <w:rFonts w:ascii="Times New Roman" w:hAnsi="Times New Roman"/>
          <w:sz w:val="24"/>
          <w:szCs w:val="24"/>
          <w:lang w:val="en-US"/>
        </w:rPr>
        <w:t>m</w:t>
      </w:r>
      <w:r>
        <w:rPr>
          <w:rFonts w:ascii="Times New Roman" w:hAnsi="Times New Roman"/>
          <w:sz w:val="24"/>
          <w:szCs w:val="24"/>
        </w:rPr>
        <w:t xml:space="preserve">id </w:t>
      </w:r>
      <w:r>
        <w:rPr>
          <w:rFonts w:ascii="Times New Roman" w:hAnsi="Times New Roman"/>
          <w:sz w:val="24"/>
          <w:szCs w:val="24"/>
          <w:lang w:val="en-US"/>
        </w:rPr>
        <w:t>BVAL</w:t>
      </w:r>
      <w:r>
        <w:rPr>
          <w:rFonts w:ascii="Times New Roman" w:hAnsi="Times New Roman"/>
          <w:sz w:val="24"/>
          <w:szCs w:val="24"/>
        </w:rPr>
        <w:t xml:space="preserve">) с </w:t>
      </w:r>
      <w:r>
        <w:rPr>
          <w:rFonts w:ascii="Times New Roman" w:hAnsi="Times New Roman"/>
          <w:sz w:val="24"/>
          <w:szCs w:val="24"/>
          <w:lang w:val="en-US"/>
        </w:rPr>
        <w:t>BVAL</w:t>
      </w:r>
      <w:r w:rsidRPr="00811E19">
        <w:rPr>
          <w:rFonts w:ascii="Times New Roman" w:hAnsi="Times New Roman"/>
          <w:sz w:val="24"/>
          <w:szCs w:val="24"/>
        </w:rPr>
        <w:t xml:space="preserve"> </w:t>
      </w:r>
      <w:r>
        <w:rPr>
          <w:rFonts w:ascii="Times New Roman" w:hAnsi="Times New Roman"/>
          <w:sz w:val="24"/>
          <w:szCs w:val="24"/>
          <w:lang w:val="en-US"/>
        </w:rPr>
        <w:t>Score</w:t>
      </w:r>
      <w:r>
        <w:rPr>
          <w:rFonts w:ascii="Times New Roman" w:hAnsi="Times New Roman"/>
          <w:sz w:val="24"/>
          <w:szCs w:val="24"/>
        </w:rPr>
        <w:t xml:space="preserve"> равен 6 и выше, рассчитанная информационным агентством "Блумберг" (Bloomberg).</w:t>
      </w:r>
    </w:p>
    <w:p w14:paraId="2F4BAC25"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В случае отсутствия цен закрытия в информационной системе Bloomberg в связи с неторговым днем бирж, по итогам торгов на которых определяется цена закрытия, то для целей определения справедливой стоимости активов используется цена закрытия последнего торгового дня.</w:t>
      </w:r>
    </w:p>
    <w:p w14:paraId="0517D466" w14:textId="77777777" w:rsidR="000C1E0E" w:rsidRDefault="000C1E0E" w:rsidP="000C1E0E">
      <w:pPr>
        <w:keepNext/>
        <w:widowControl w:val="0"/>
        <w:spacing w:before="60" w:after="60" w:line="240" w:lineRule="auto"/>
        <w:ind w:left="720"/>
        <w:outlineLvl w:val="1"/>
        <w:rPr>
          <w:rFonts w:ascii="Times New Roman" w:hAnsi="Times New Roman"/>
          <w:b/>
          <w:sz w:val="24"/>
          <w:szCs w:val="24"/>
          <w:u w:val="single"/>
        </w:rPr>
      </w:pPr>
      <w:r>
        <w:rPr>
          <w:rFonts w:ascii="Times New Roman" w:hAnsi="Times New Roman"/>
          <w:b/>
          <w:sz w:val="24"/>
          <w:szCs w:val="24"/>
          <w:u w:val="single"/>
        </w:rPr>
        <w:t>3 уровень цен:</w:t>
      </w:r>
    </w:p>
    <w:p w14:paraId="7E3BEF12" w14:textId="77777777" w:rsidR="000C1E0E" w:rsidRDefault="000C1E0E" w:rsidP="000C1E0E">
      <w:pPr>
        <w:autoSpaceDE w:val="0"/>
        <w:autoSpaceDN w:val="0"/>
        <w:adjustRightInd w:val="0"/>
        <w:spacing w:line="240" w:lineRule="auto"/>
        <w:ind w:left="709"/>
        <w:rPr>
          <w:rFonts w:ascii="Times New Roman" w:hAnsi="Times New Roman"/>
          <w:sz w:val="24"/>
          <w:szCs w:val="24"/>
        </w:rPr>
      </w:pPr>
      <w:r>
        <w:rPr>
          <w:rFonts w:ascii="Times New Roman" w:hAnsi="Times New Roman"/>
          <w:sz w:val="24"/>
          <w:szCs w:val="24"/>
        </w:rPr>
        <w:t>Цена, определенная по модели оценки в соответствии с Приложением №1 к настоящим Правилам (Уровень 3).</w:t>
      </w:r>
    </w:p>
    <w:p w14:paraId="5C4F7136"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Цена, на основании отчета оценщика, с даты оценки которого прошло не более 6 месяцев на дату определения СЧА. </w:t>
      </w:r>
    </w:p>
    <w:p w14:paraId="6EB6FF34"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 xml:space="preserve">Справедливая стоимость инвестиционных паев российских паевых инвестиционных фондов, ипотечных сертификатов участия определяется в следующем порядке: </w:t>
      </w:r>
    </w:p>
    <w:p w14:paraId="7D695EE1"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u w:val="single"/>
        </w:rPr>
        <w:t>1 уровень цен</w:t>
      </w:r>
      <w:r>
        <w:rPr>
          <w:rFonts w:ascii="Times New Roman" w:hAnsi="Times New Roman"/>
          <w:sz w:val="24"/>
          <w:szCs w:val="24"/>
        </w:rPr>
        <w:t xml:space="preserve">: </w:t>
      </w:r>
    </w:p>
    <w:p w14:paraId="4E69DAA5"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Справедливая стоимость пая/акции рассчитывается аналогично ценным бумагам российских эмитентов по 1 уровню цен.</w:t>
      </w:r>
    </w:p>
    <w:p w14:paraId="4DF5BDFD"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u w:val="single"/>
        </w:rPr>
        <w:t>2 уровень цен</w:t>
      </w:r>
      <w:r>
        <w:rPr>
          <w:rFonts w:ascii="Times New Roman" w:hAnsi="Times New Roman"/>
          <w:sz w:val="24"/>
          <w:szCs w:val="24"/>
        </w:rPr>
        <w:t>: расчетная стоимость, раскрытая/предоставленная Управляющей компанией Фонда/ ипотечного покрытия, в сроки, предусмотренные нормативными актами Банка России;</w:t>
      </w:r>
    </w:p>
    <w:p w14:paraId="678668C7"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u w:val="single"/>
        </w:rPr>
        <w:t>3 уровень цен:</w:t>
      </w:r>
      <w:r>
        <w:rPr>
          <w:rFonts w:ascii="Times New Roman" w:hAnsi="Times New Roman"/>
          <w:sz w:val="24"/>
          <w:szCs w:val="24"/>
        </w:rPr>
        <w:t xml:space="preserve"> цена, на основании отчета оценщика, с даты оценки которого прошло не более 6 месяцев на дату определения СЧА.</w:t>
      </w:r>
    </w:p>
    <w:p w14:paraId="2A6E7A47"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 xml:space="preserve">Справедливая стоимость производных финансовых инструментов определяется в следующем порядке: </w:t>
      </w:r>
    </w:p>
    <w:p w14:paraId="6B55C36B"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По производным финансовым инструментам, по которым рынок является активным, применяются данные, определенные на основных рынках для оцениваемого ПФИ, в порядке убывания приоритетности:</w:t>
      </w:r>
    </w:p>
    <w:p w14:paraId="5436C09A"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а). Последняя расчетная цена (теоретическая цена), определяемая организатором торгов, где Фондом был продан или куплен ПФИ;</w:t>
      </w:r>
    </w:p>
    <w:p w14:paraId="5387C0F7"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lang w:val="en-US"/>
        </w:rPr>
        <w:t>b</w:t>
      </w:r>
      <w:r>
        <w:rPr>
          <w:rFonts w:ascii="Times New Roman" w:hAnsi="Times New Roman"/>
          <w:sz w:val="24"/>
          <w:szCs w:val="24"/>
        </w:rPr>
        <w:t>). Вариационная маржа, определяемая организатором торгов, где Фондом был продан или куплен ПФИ. Данный показатель используется для расчета изменения справедливой стоимости ПФИ с даты последней уплаты вариационной маржи;</w:t>
      </w:r>
    </w:p>
    <w:p w14:paraId="1A02A896"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с). Последняя цена закрытия, определяемая организатором торгов, где Фондом был куплен/продан оцениваемый ПФИ; </w:t>
      </w:r>
    </w:p>
    <w:p w14:paraId="730A48B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lang w:val="en-US"/>
        </w:rPr>
        <w:t>d</w:t>
      </w:r>
      <w:r>
        <w:rPr>
          <w:rFonts w:ascii="Times New Roman" w:hAnsi="Times New Roman"/>
          <w:sz w:val="24"/>
          <w:szCs w:val="24"/>
        </w:rPr>
        <w:t xml:space="preserve">). Последняя средневзвешенная цена, определяемая организатором торгов, где Фондом был куплен/продан оцениваемый ПФИ. </w:t>
      </w:r>
    </w:p>
    <w:p w14:paraId="6C93DC6F" w14:textId="77777777" w:rsidR="000C1E0E" w:rsidRDefault="000C1E0E" w:rsidP="000C1E0E">
      <w:pPr>
        <w:keepNext/>
        <w:widowControl w:val="0"/>
        <w:spacing w:before="60" w:after="60" w:line="240" w:lineRule="auto"/>
        <w:ind w:left="708"/>
        <w:outlineLvl w:val="1"/>
        <w:rPr>
          <w:rFonts w:ascii="Times New Roman" w:hAnsi="Times New Roman"/>
          <w:sz w:val="24"/>
          <w:szCs w:val="24"/>
        </w:rPr>
      </w:pPr>
      <w:r>
        <w:rPr>
          <w:rFonts w:ascii="Times New Roman" w:hAnsi="Times New Roman"/>
          <w:sz w:val="24"/>
          <w:szCs w:val="24"/>
        </w:rPr>
        <w:t>Справедливой стоимостью ПФИ является его последняя расчетная цена (теоретическая цена), определяемая биржей, на которой у Фонда был заключен соответствующий контракт (является основным рынком).</w:t>
      </w:r>
    </w:p>
    <w:p w14:paraId="7F7C6D41"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Справедливая стоимость депозитарной расписки определяется в следующем порядке:</w:t>
      </w:r>
    </w:p>
    <w:p w14:paraId="63785C35"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а). Котировка депозитарной расписки, если она торгуется на организованных торгах, с выбором цены, аналогичным представленным по ценным бумагам иностранных эмитентов. </w:t>
      </w:r>
    </w:p>
    <w:p w14:paraId="1B76585D"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lang w:val="en-US"/>
        </w:rPr>
        <w:t>b</w:t>
      </w:r>
      <w:r>
        <w:rPr>
          <w:rFonts w:ascii="Times New Roman" w:hAnsi="Times New Roman"/>
          <w:sz w:val="24"/>
          <w:szCs w:val="24"/>
        </w:rPr>
        <w:t>). В случае отсутствия цены первого уровня, используется цена представляемой ценной бумаги (базового актива), определенная в соответствии с моделями оценки стоимости ценных бумаг, для которых определяется активный рынок в зависимости от эмитента ценной бумаги (российский/иностранный).</w:t>
      </w:r>
    </w:p>
    <w:p w14:paraId="2628ABF9"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Справедливая стоимость ценной бумаги, являющейся дополнительным выпуском определяется в следующем порядке:</w:t>
      </w:r>
    </w:p>
    <w:p w14:paraId="015A2E2D" w14:textId="77777777" w:rsidR="000C1E0E" w:rsidRDefault="000C1E0E" w:rsidP="000C1E0E">
      <w:pPr>
        <w:keepNext/>
        <w:widowControl w:val="0"/>
        <w:spacing w:before="60" w:after="60" w:line="240" w:lineRule="auto"/>
        <w:ind w:left="708"/>
        <w:outlineLvl w:val="1"/>
        <w:rPr>
          <w:rFonts w:ascii="Times New Roman" w:hAnsi="Times New Roman"/>
          <w:sz w:val="24"/>
          <w:szCs w:val="24"/>
        </w:rPr>
      </w:pPr>
      <w:r>
        <w:rPr>
          <w:rFonts w:ascii="Times New Roman" w:hAnsi="Times New Roman"/>
          <w:sz w:val="24"/>
          <w:szCs w:val="24"/>
        </w:rPr>
        <w:t>Для оценки ценной бумаги, являющейся дополнительным выпуском, используется цена выпуска (аналогичного актива), по отношению к которому данный выпуск является дополнительным, определенная на дату определения СЧА в соответствии с моделями оценки стоимости ценных бумаг, для которых определен активный рынок.</w:t>
      </w:r>
      <w:r>
        <w:rPr>
          <w:rFonts w:ascii="Times New Roman" w:hAnsi="Times New Roman"/>
          <w:sz w:val="24"/>
          <w:szCs w:val="24"/>
        </w:rPr>
        <w:br/>
        <w:t>Справедливая стоимость определяется согласно этому порядку до возникновения справедливой стоимости ценной бумаги дополнительного выпуска</w:t>
      </w:r>
    </w:p>
    <w:p w14:paraId="7BAA2918"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Определение справедливой стоимости ценных бумаг в результате конвертации в нее другой ценной бумаги (исходной ценной бумаги) производится следующим образом:</w:t>
      </w:r>
    </w:p>
    <w:p w14:paraId="49F77920"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Для оценки ценной бумаги используется цена исходной ценной бумаги, определенная на дату определения СЧА в соответствии с моделями оценки стоимости ценных бумаг, для которых определен активный рынок, скорректированная с учетом коэффициента конвертации.</w:t>
      </w:r>
    </w:p>
    <w:p w14:paraId="35EEAC26" w14:textId="7E802CD0"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Если невозможно определить в соответствии с моделями оценки стоим</w:t>
      </w:r>
      <w:r w:rsidR="00E06251">
        <w:rPr>
          <w:rFonts w:ascii="Times New Roman" w:hAnsi="Times New Roman"/>
          <w:sz w:val="24"/>
          <w:szCs w:val="24"/>
        </w:rPr>
        <w:t xml:space="preserve">ости ценных бумаг, для которых </w:t>
      </w:r>
      <w:r>
        <w:rPr>
          <w:rFonts w:ascii="Times New Roman" w:hAnsi="Times New Roman"/>
          <w:sz w:val="24"/>
          <w:szCs w:val="24"/>
        </w:rPr>
        <w:t>определен активный рынок, цену исходной ценной бумаги на дату определения СЧА, используется справедливая стоимость исходной ценной бумаги, определенная на дату конвертации, скорректированная с учетом коэффициента конвертации.</w:t>
      </w:r>
    </w:p>
    <w:p w14:paraId="204EFA62" w14:textId="77777777" w:rsidR="000C1E0E" w:rsidRDefault="000C1E0E" w:rsidP="000C1E0E">
      <w:pPr>
        <w:pStyle w:val="ae"/>
        <w:ind w:left="708"/>
        <w:rPr>
          <w:sz w:val="24"/>
        </w:rPr>
      </w:pPr>
      <w:r>
        <w:rPr>
          <w:sz w:val="24"/>
        </w:rPr>
        <w:t>Справедливая стоимость определяется согласно этому порядку на дату оценки. Со следующей даты справедливая стоимость определяется в общем порядке.</w:t>
      </w:r>
    </w:p>
    <w:p w14:paraId="10E84D82" w14:textId="0D2E4DFA"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p>
    <w:p w14:paraId="3AF227C7"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w:t>
      </w:r>
    </w:p>
    <w:p w14:paraId="76ECD5EE"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76D80717"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w:t>
      </w:r>
    </w:p>
    <w:p w14:paraId="5894F251"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Оценочной стоимостью акций или облигаций нового выпуска, признанных в результате конвертации в них конвертируемых исходных ценных бумаг, является оценочная стоимость конвертированных ценных бумаг, деленная на количество акций (облигаций), в которое конвертирована одна конвертируемая ценная бумага.</w:t>
      </w:r>
    </w:p>
    <w:p w14:paraId="6520FC18"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Оценочной стоимостью акций, признанных в результате конвертации в них исходных акций при реорганизации в форме слияния, является оценочная стоимость конвертированных ценных бумаг, умноженная на коэффициент конвертации.</w:t>
      </w:r>
    </w:p>
    <w:p w14:paraId="3D74096C"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Оценочной стоимостью акций вновь созданного в результате реорганизации в форме разделения или выделения акционерного общества, признанных в результате конвертации в них исходных акций, является оценочная стоимость конвертированных акций, деленная на коэффициент конвертации. В случае, если в результате разделения или выделения создается два или более акционерных общества, на коэффициент конвертации делится оценочная стоимость конвертированных акций,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w:t>
      </w:r>
    </w:p>
    <w:p w14:paraId="279A52DF"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Оценочная стоимость акций вновь созданного в результате реорганизации в форме выделения акционерного общества, признанных в результате их распределения среди акционеров реорганизованного акционерного общества, считается равной нулю.</w:t>
      </w:r>
    </w:p>
    <w:p w14:paraId="6669F84C"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-Оценочной стоимостью облигаций нового выпуска, признанных в результате конвертации в них исходных облигаций при реорганизации эмитента таких облигаций, является оценочная стоимость конвертированных облигаций. Для определения справедливой стоимости может также использоваться отчет оценщика.</w:t>
      </w:r>
    </w:p>
    <w:p w14:paraId="0A6759CC"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Справедливая стоимость ценной бумаги, приобретенной на размещении, определяется в следующем порядке:</w:t>
      </w:r>
    </w:p>
    <w:p w14:paraId="39ECA6F3" w14:textId="77777777" w:rsidR="000C1E0E" w:rsidRDefault="000C1E0E" w:rsidP="000C1E0E">
      <w:pPr>
        <w:widowControl w:val="0"/>
        <w:spacing w:before="60" w:after="60" w:line="240" w:lineRule="auto"/>
        <w:ind w:left="709"/>
        <w:outlineLvl w:val="1"/>
        <w:rPr>
          <w:rFonts w:ascii="Times New Roman" w:hAnsi="Times New Roman"/>
          <w:sz w:val="24"/>
          <w:szCs w:val="24"/>
        </w:rPr>
      </w:pPr>
      <w:r>
        <w:rPr>
          <w:rFonts w:ascii="Times New Roman" w:hAnsi="Times New Roman"/>
          <w:sz w:val="24"/>
          <w:szCs w:val="24"/>
        </w:rPr>
        <w:t>Справедливая стоимость ценной бумаги, приобретенной на размещении, определяется по цене размещения. С даты появления цен, позволяющих произвести оценку по данным активного основного рынка, справедливая стоимость определяется в общем порядке. При отсутствии указанных цен в течение 10 рабочих дней с даты фактического окончания размещения выпуска может применяться цена размещения, скорректированная пропорционально на изменение ключевой ставки Банка России за этот период. Начиная с 11 дня справедливая стоимость определяется в общем порядке.</w:t>
      </w:r>
    </w:p>
    <w:p w14:paraId="46CD88D3"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Справедливая стоимость задолженности по сделкам, заключенным на условиях Т+</w:t>
      </w:r>
    </w:p>
    <w:p w14:paraId="5606EA9B"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Справедливая стоимость задолженности по сделкам с ценными бумагами, заключенным на условиях Т+ определяется в размере разницы между справедливой стоимостью ценной бумаги, являющейся предметом сделки и суммой сделки в валюте сделки, приведенной к рублю по курсу, установленному настоящими Правилами определения СЧА для конвертации стоимостей, выраженных в одной валюте, в другую валюту.</w:t>
      </w:r>
    </w:p>
    <w:p w14:paraId="626321FC"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101BAD0C"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При определении справедливой стоимости задолженности по сделкам с облигациями, заключенным на условиях Т+, справедливая стоимость облигаций (пакета облигаций) определяется как произведение цены облигации, определенной в соответствии с настоящими Правилами, увеличенной на размер купона, определенного на дату расчета по сделке в соответствии с условиями сделки или правилами организатора торгов, и количества ценных бумаг, являющихся предметом сделки.</w:t>
      </w:r>
    </w:p>
    <w:p w14:paraId="10CA5970"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Справедливая стоимость дебиторской задолженность, возникшей в результате совершения сделок с ценными бумагами, заключенным на условиях Т+, с даты наступления срока ее полного погашения, установленного условиями сделки, определяется в соответствии с порядком корректировки справедливой стоимости при возникновении события, ведущего к обесценению, в соответствии с п.3.13 настоящих Правил.</w:t>
      </w:r>
    </w:p>
    <w:p w14:paraId="3DD5DA61"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Справедливая стоимость задолженности по сделкам с валютой, заключенным на условиях Т+, определяется в размере разницы между текущей справедливой стоимостью в рублях по курсу, установленному настоящими Правилами определения СЧА для конвертации стоимостей, выраженных в одной валюте, в другую валюту и стоимостью валюты в рублях, зафиксированной в договоре на дату исполнения сделки.    </w:t>
      </w:r>
    </w:p>
    <w:p w14:paraId="50279A06"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 /в составе активов (дебиторская задолженность) у продавца. </w:t>
      </w:r>
    </w:p>
    <w:p w14:paraId="1A4CA968"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Порядок определения справедливой стоимости требований из кредитных договоров и договоров займа.</w:t>
      </w:r>
    </w:p>
    <w:p w14:paraId="1925493A" w14:textId="51F8B64D" w:rsidR="00D411B6" w:rsidRPr="00E06251" w:rsidRDefault="00D411B6" w:rsidP="00D411B6">
      <w:pPr>
        <w:widowControl w:val="0"/>
        <w:numPr>
          <w:ilvl w:val="2"/>
          <w:numId w:val="4"/>
        </w:numPr>
        <w:spacing w:before="60" w:after="60" w:line="240" w:lineRule="auto"/>
        <w:outlineLvl w:val="1"/>
        <w:rPr>
          <w:rFonts w:ascii="Times New Roman" w:hAnsi="Times New Roman"/>
          <w:sz w:val="24"/>
          <w:szCs w:val="24"/>
        </w:rPr>
      </w:pPr>
      <w:r w:rsidRPr="00D411B6">
        <w:rPr>
          <w:sz w:val="20"/>
        </w:rPr>
        <w:t xml:space="preserve"> </w:t>
      </w:r>
      <w:r w:rsidRPr="00E06251">
        <w:rPr>
          <w:sz w:val="24"/>
          <w:szCs w:val="24"/>
        </w:rPr>
        <w:t>Если договор не содержит конкретной даты погашения,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w:t>
      </w:r>
    </w:p>
    <w:p w14:paraId="0A0BAA5D" w14:textId="0477FA41" w:rsidR="000C1E0E" w:rsidRDefault="00D411B6" w:rsidP="00D411B6">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С</w:t>
      </w:r>
      <w:r w:rsidR="000C1E0E">
        <w:rPr>
          <w:rFonts w:ascii="Times New Roman" w:hAnsi="Times New Roman"/>
          <w:sz w:val="24"/>
          <w:szCs w:val="24"/>
        </w:rPr>
        <w:t>праведливая стоимость активов в течение максимального срока, предусмотренного договором, определяется:</w:t>
      </w:r>
    </w:p>
    <w:p w14:paraId="7C93725F"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в сумме остатка основного долга, увеличенной на сумму процентов, рассчитанных на дату определения СЧА по ставке, предусмотренной договором, если ссуда выдана на срок «до востребования»;</w:t>
      </w:r>
    </w:p>
    <w:p w14:paraId="3F979661"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в сумме остатка основного долга, увеличенной на сумму процентов, рассчитанных на дату определения СЧА по ставке, предусмотренной договором для максимального срока возврата ссуды, если ссуда выдана на срок не более одного года и ставка по договору соответствует рыночной.  </w:t>
      </w:r>
    </w:p>
    <w:p w14:paraId="47914143"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В случае внесения изменения в условия определения срока договора максимальный срок определяется в соответствии с изменённым сроком кредита (займа), действующим на дату определения СЧА, причем накопление срока кредита (займа) не происходит.</w:t>
      </w:r>
    </w:p>
    <w:p w14:paraId="47EBF4DD"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Порядок корректировки справедливой стоимости активов с учетом кредитного качества контрагента.</w:t>
      </w:r>
    </w:p>
    <w:p w14:paraId="421D8E30" w14:textId="77777777" w:rsidR="000C1E0E" w:rsidRDefault="000C1E0E" w:rsidP="000C1E0E">
      <w:pPr>
        <w:ind w:left="709"/>
        <w:rPr>
          <w:rFonts w:ascii="Times New Roman" w:hAnsi="Times New Roman"/>
          <w:sz w:val="24"/>
          <w:szCs w:val="24"/>
        </w:rPr>
      </w:pPr>
      <w:r>
        <w:rPr>
          <w:rFonts w:ascii="Times New Roman" w:hAnsi="Times New Roman"/>
          <w:sz w:val="24"/>
          <w:szCs w:val="24"/>
        </w:rPr>
        <w:t xml:space="preserve">При возникновении события, ведущего к обесценению, справедливая стоимость денежных средств на счетах и во вкладах, справедливая стоимость дебиторской задолженности, в том числе по займам, определяется в соответствии с методом корректировки справедливой стоимости. </w:t>
      </w:r>
    </w:p>
    <w:p w14:paraId="02E4A15B" w14:textId="77777777" w:rsidR="000C1E0E" w:rsidRDefault="000C1E0E" w:rsidP="000C1E0E">
      <w:pPr>
        <w:ind w:left="709"/>
        <w:rPr>
          <w:rFonts w:ascii="Times New Roman" w:hAnsi="Times New Roman"/>
          <w:sz w:val="24"/>
          <w:szCs w:val="24"/>
        </w:rPr>
      </w:pPr>
      <w:r>
        <w:rPr>
          <w:rFonts w:ascii="Times New Roman" w:hAnsi="Times New Roman"/>
          <w:sz w:val="24"/>
          <w:szCs w:val="24"/>
        </w:rPr>
        <w:t xml:space="preserve">Тестирование всего портфеля на обесценение проводится не реже, чем на каждую отчетную дату, установленную нормативными актами Банка России для ПИФ. </w:t>
      </w:r>
    </w:p>
    <w:p w14:paraId="180ED257" w14:textId="77777777" w:rsidR="000C1E0E" w:rsidRDefault="000C1E0E" w:rsidP="000C1E0E">
      <w:pPr>
        <w:ind w:left="709"/>
        <w:rPr>
          <w:rFonts w:ascii="Times New Roman" w:hAnsi="Times New Roman"/>
          <w:sz w:val="24"/>
          <w:szCs w:val="24"/>
        </w:rPr>
      </w:pPr>
      <w:r>
        <w:rPr>
          <w:rFonts w:ascii="Times New Roman" w:hAnsi="Times New Roman"/>
          <w:sz w:val="24"/>
          <w:szCs w:val="24"/>
        </w:rPr>
        <w:t>Тестируемые активы подвергаются обесценению, если имеется одно или несколько событий, которые могут оказать негативное влияние на ожидаемые будущие денежные потоки по ним (признаки обесценения).</w:t>
      </w:r>
    </w:p>
    <w:p w14:paraId="0BA80284"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События, ведущие к обесценению: </w:t>
      </w:r>
    </w:p>
    <w:p w14:paraId="47754131" w14:textId="77777777" w:rsidR="000C1E0E" w:rsidRDefault="000C1E0E" w:rsidP="000C1E0E">
      <w:pPr>
        <w:pStyle w:val="afc"/>
        <w:numPr>
          <w:ilvl w:val="0"/>
          <w:numId w:val="7"/>
        </w:numPr>
        <w:tabs>
          <w:tab w:val="num" w:pos="2880"/>
        </w:tabs>
        <w:spacing w:after="0" w:line="240" w:lineRule="auto"/>
        <w:jc w:val="both"/>
        <w:rPr>
          <w:rFonts w:ascii="Times New Roman" w:hAnsi="Times New Roman"/>
          <w:sz w:val="24"/>
          <w:szCs w:val="24"/>
        </w:rPr>
      </w:pPr>
      <w:r>
        <w:rPr>
          <w:rFonts w:ascii="Times New Roman" w:hAnsi="Times New Roman"/>
          <w:sz w:val="24"/>
          <w:szCs w:val="24"/>
        </w:rPr>
        <w:t>В отношении юридических лиц:</w:t>
      </w:r>
    </w:p>
    <w:p w14:paraId="7852DA53"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ухудшение финансового положения контрагента (в т.ч. заемщика, кредитной организации, брокера), отразившиеся в доступной финансовой отчетности, а именно снижение собственного капитала более чем на 25% по сравнению с максимальной величиной за последние 12 месяцев;</w:t>
      </w:r>
    </w:p>
    <w:p w14:paraId="1D8EA714"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нарушение контрагентом/эмитентом условий исполнения обязательств или выплаты процентных доходов по активу, составляющему активы Фонда, а также любого иного его обязательства перед третьими лицами, в </w:t>
      </w:r>
      <w:r>
        <w:rPr>
          <w:rFonts w:ascii="Times New Roman" w:hAnsi="Times New Roman"/>
          <w:sz w:val="24"/>
          <w:szCs w:val="24"/>
        </w:rPr>
        <w:br/>
        <w:t>случае если данная информация прямо или косвенно наблюдаема участником рынка;</w:t>
      </w:r>
    </w:p>
    <w:p w14:paraId="04AC6696"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официальное опубликование решения о признании контрагента/эмитента банкротом;</w:t>
      </w:r>
    </w:p>
    <w:p w14:paraId="64E8446F" w14:textId="61EFAFD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официальное опубликование решения о начале применения к контрагенту/эмитенту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3D963C27"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существенное (на две ступени и более) снижение кредитного рейтинга контрагента/ эмитента (при наличии) либо отзыв рейтинга;</w:t>
      </w:r>
    </w:p>
    <w:p w14:paraId="478E783D"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отзыв (аннулирование) у контрагента лицензии на осуществление основного вида деятельности.</w:t>
      </w:r>
    </w:p>
    <w:p w14:paraId="3FA78E5B" w14:textId="77777777" w:rsidR="000C1E0E" w:rsidRDefault="000C1E0E" w:rsidP="000C1E0E">
      <w:pPr>
        <w:pStyle w:val="afc"/>
        <w:numPr>
          <w:ilvl w:val="0"/>
          <w:numId w:val="7"/>
        </w:numPr>
        <w:tabs>
          <w:tab w:val="num" w:pos="2880"/>
        </w:tabs>
        <w:spacing w:after="0" w:line="240" w:lineRule="auto"/>
        <w:jc w:val="both"/>
        <w:rPr>
          <w:rFonts w:ascii="Times New Roman" w:hAnsi="Times New Roman"/>
          <w:sz w:val="24"/>
          <w:szCs w:val="24"/>
          <w:u w:val="single"/>
        </w:rPr>
      </w:pPr>
      <w:r>
        <w:rPr>
          <w:rFonts w:ascii="Times New Roman" w:hAnsi="Times New Roman"/>
          <w:sz w:val="24"/>
          <w:szCs w:val="24"/>
        </w:rPr>
        <w:t>В отношении физических лиц</w:t>
      </w:r>
    </w:p>
    <w:p w14:paraId="1A0D1CDE"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официальное опубликование решения о признании лица банкротом;</w:t>
      </w:r>
    </w:p>
    <w:p w14:paraId="04192208"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официальное опубликование решения о начале применения к лицу процедур банкротства со дня опубликования сообщения до даты, предшествующей дате опубликования сообщения об окончании применения процедур банкротства.</w:t>
      </w:r>
    </w:p>
    <w:p w14:paraId="533B34EB"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В случае, если при проведении мониторинга, становится доступной информация о признаках обесценения, справедливая стоимость корректируется на ту же дату.</w:t>
      </w:r>
    </w:p>
    <w:p w14:paraId="2169F510"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Указанные события отслеживаются на каждую дату расчета СЧА на основании информации, опубликованной в следующих доступных источниках:</w:t>
      </w:r>
    </w:p>
    <w:p w14:paraId="78EB2A8B" w14:textId="77777777" w:rsidR="000C1E0E" w:rsidRDefault="000C1E0E" w:rsidP="000C1E0E">
      <w:pPr>
        <w:pStyle w:val="afc"/>
        <w:numPr>
          <w:ilvl w:val="0"/>
          <w:numId w:val="8"/>
        </w:numPr>
        <w:spacing w:line="240" w:lineRule="auto"/>
        <w:ind w:hanging="11"/>
        <w:rPr>
          <w:rFonts w:ascii="Times New Roman" w:hAnsi="Times New Roman"/>
          <w:sz w:val="24"/>
          <w:szCs w:val="24"/>
        </w:rPr>
      </w:pPr>
      <w:r>
        <w:rPr>
          <w:rFonts w:ascii="Times New Roman" w:hAnsi="Times New Roman"/>
          <w:sz w:val="24"/>
          <w:szCs w:val="24"/>
        </w:rPr>
        <w:t>В отношении юридических лиц:</w:t>
      </w:r>
    </w:p>
    <w:p w14:paraId="70CC1E7D"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уполномоченное агентство ЗАО «Интерфакс» </w:t>
      </w:r>
      <w:hyperlink r:id="rId9" w:history="1">
        <w:r>
          <w:rPr>
            <w:rStyle w:val="a7"/>
            <w:rFonts w:eastAsiaTheme="majorEastAsia"/>
            <w:sz w:val="24"/>
            <w:szCs w:val="24"/>
          </w:rPr>
          <w:t>https://www.e-disclosure.ru</w:t>
        </w:r>
      </w:hyperlink>
      <w:r>
        <w:rPr>
          <w:rFonts w:ascii="Times New Roman" w:hAnsi="Times New Roman"/>
          <w:sz w:val="24"/>
          <w:szCs w:val="24"/>
        </w:rPr>
        <w:t>;</w:t>
      </w:r>
    </w:p>
    <w:p w14:paraId="61BA9553" w14:textId="77777777" w:rsidR="000C1E0E" w:rsidRPr="00E06251"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-Московская Биржа </w:t>
      </w:r>
      <w:hyperlink r:id="rId10" w:history="1">
        <w:r w:rsidRPr="00E06251">
          <w:rPr>
            <w:rStyle w:val="a7"/>
            <w:rFonts w:eastAsiaTheme="majorEastAsia"/>
            <w:sz w:val="24"/>
            <w:szCs w:val="24"/>
          </w:rPr>
          <w:t>https://www.moex.com</w:t>
        </w:r>
      </w:hyperlink>
      <w:r w:rsidRPr="00E06251">
        <w:rPr>
          <w:rFonts w:ascii="Times New Roman" w:hAnsi="Times New Roman"/>
          <w:sz w:val="24"/>
          <w:szCs w:val="24"/>
        </w:rPr>
        <w:t>;</w:t>
      </w:r>
    </w:p>
    <w:p w14:paraId="4DFF6AFE" w14:textId="305D34D9" w:rsidR="000C1E0E" w:rsidRPr="00E06251" w:rsidRDefault="000C1E0E" w:rsidP="000C1E0E">
      <w:pPr>
        <w:keepNext/>
        <w:widowControl w:val="0"/>
        <w:spacing w:before="60" w:after="60" w:line="240" w:lineRule="auto"/>
        <w:ind w:left="720"/>
        <w:outlineLvl w:val="1"/>
        <w:rPr>
          <w:rFonts w:ascii="Times New Roman" w:hAnsi="Times New Roman"/>
          <w:sz w:val="24"/>
          <w:szCs w:val="24"/>
        </w:rPr>
      </w:pPr>
      <w:r w:rsidRPr="00E06251">
        <w:rPr>
          <w:rFonts w:ascii="Times New Roman" w:hAnsi="Times New Roman"/>
          <w:sz w:val="24"/>
          <w:szCs w:val="24"/>
        </w:rPr>
        <w:t>- сайт Центрального Банка РФ</w:t>
      </w:r>
      <w:r w:rsidR="00141A81" w:rsidRPr="00E06251">
        <w:rPr>
          <w:rFonts w:ascii="Times New Roman" w:hAnsi="Times New Roman"/>
          <w:sz w:val="24"/>
          <w:szCs w:val="24"/>
        </w:rPr>
        <w:t xml:space="preserve"> </w:t>
      </w:r>
      <w:r w:rsidR="00141A81" w:rsidRPr="00E06251">
        <w:rPr>
          <w:sz w:val="24"/>
          <w:szCs w:val="24"/>
        </w:rPr>
        <w:t>https://www.cbr.ru</w:t>
      </w:r>
      <w:r w:rsidRPr="00E06251">
        <w:rPr>
          <w:rFonts w:ascii="Times New Roman" w:hAnsi="Times New Roman"/>
          <w:sz w:val="24"/>
          <w:szCs w:val="24"/>
        </w:rPr>
        <w:t>;</w:t>
      </w:r>
    </w:p>
    <w:p w14:paraId="5AB863F2" w14:textId="77777777" w:rsidR="000C1E0E" w:rsidRPr="00E06251" w:rsidRDefault="000C1E0E" w:rsidP="000C1E0E">
      <w:pPr>
        <w:keepNext/>
        <w:widowControl w:val="0"/>
        <w:spacing w:before="60" w:after="60" w:line="240" w:lineRule="auto"/>
        <w:ind w:left="720"/>
        <w:outlineLvl w:val="1"/>
        <w:rPr>
          <w:rFonts w:ascii="Times New Roman" w:hAnsi="Times New Roman"/>
          <w:sz w:val="24"/>
          <w:szCs w:val="24"/>
        </w:rPr>
      </w:pPr>
      <w:r w:rsidRPr="00E06251">
        <w:rPr>
          <w:rFonts w:ascii="Times New Roman" w:hAnsi="Times New Roman"/>
          <w:sz w:val="24"/>
          <w:szCs w:val="24"/>
        </w:rPr>
        <w:t xml:space="preserve">- картотека арбитражных дел </w:t>
      </w:r>
      <w:hyperlink r:id="rId11" w:history="1">
        <w:r w:rsidRPr="00E06251">
          <w:rPr>
            <w:rStyle w:val="a7"/>
            <w:rFonts w:eastAsiaTheme="majorEastAsia"/>
            <w:sz w:val="24"/>
            <w:szCs w:val="24"/>
          </w:rPr>
          <w:t>https://kad.arbitr.ru</w:t>
        </w:r>
      </w:hyperlink>
      <w:r w:rsidRPr="00E06251">
        <w:rPr>
          <w:rFonts w:ascii="Times New Roman" w:hAnsi="Times New Roman"/>
          <w:sz w:val="24"/>
          <w:szCs w:val="24"/>
        </w:rPr>
        <w:t>;</w:t>
      </w:r>
    </w:p>
    <w:p w14:paraId="6EDF144D" w14:textId="77777777" w:rsidR="000C1E0E" w:rsidRPr="00E06251" w:rsidRDefault="000C1E0E" w:rsidP="000C1E0E">
      <w:pPr>
        <w:keepNext/>
        <w:widowControl w:val="0"/>
        <w:spacing w:before="60" w:after="60" w:line="240" w:lineRule="auto"/>
        <w:ind w:left="720"/>
        <w:outlineLvl w:val="1"/>
        <w:rPr>
          <w:rFonts w:ascii="Times New Roman" w:hAnsi="Times New Roman"/>
          <w:sz w:val="24"/>
          <w:szCs w:val="24"/>
        </w:rPr>
      </w:pPr>
      <w:r w:rsidRPr="00E06251">
        <w:rPr>
          <w:rFonts w:ascii="Times New Roman" w:hAnsi="Times New Roman"/>
          <w:sz w:val="24"/>
          <w:szCs w:val="24"/>
        </w:rPr>
        <w:t xml:space="preserve">- единый федеральный реестр сведений о банкротстве </w:t>
      </w:r>
      <w:hyperlink r:id="rId12" w:history="1">
        <w:r w:rsidRPr="00E06251">
          <w:rPr>
            <w:rStyle w:val="a7"/>
            <w:rFonts w:eastAsiaTheme="majorEastAsia"/>
            <w:sz w:val="24"/>
            <w:szCs w:val="24"/>
          </w:rPr>
          <w:t>https://bankrot.fedresurs.ru</w:t>
        </w:r>
      </w:hyperlink>
      <w:r w:rsidRPr="00E06251">
        <w:rPr>
          <w:rFonts w:ascii="Times New Roman" w:hAnsi="Times New Roman"/>
          <w:sz w:val="24"/>
          <w:szCs w:val="24"/>
        </w:rPr>
        <w:t>;</w:t>
      </w:r>
    </w:p>
    <w:p w14:paraId="7F1AC28F"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sidRPr="00E06251">
        <w:rPr>
          <w:rFonts w:ascii="Times New Roman" w:hAnsi="Times New Roman"/>
          <w:sz w:val="24"/>
          <w:szCs w:val="24"/>
        </w:rPr>
        <w:t>- единый федеральный реестр сведений о фактах</w:t>
      </w:r>
      <w:r>
        <w:rPr>
          <w:rFonts w:ascii="Times New Roman" w:hAnsi="Times New Roman"/>
          <w:sz w:val="24"/>
          <w:szCs w:val="24"/>
        </w:rPr>
        <w:t xml:space="preserve"> деятельности юридических лиц </w:t>
      </w:r>
      <w:hyperlink r:id="rId13" w:history="1">
        <w:r>
          <w:rPr>
            <w:rStyle w:val="a7"/>
            <w:rFonts w:eastAsiaTheme="majorEastAsia"/>
            <w:sz w:val="24"/>
            <w:szCs w:val="24"/>
          </w:rPr>
          <w:t>https://fedresurs.ru</w:t>
        </w:r>
      </w:hyperlink>
      <w:r>
        <w:rPr>
          <w:rFonts w:ascii="Times New Roman" w:hAnsi="Times New Roman"/>
          <w:sz w:val="24"/>
          <w:szCs w:val="24"/>
        </w:rPr>
        <w:t>;</w:t>
      </w:r>
    </w:p>
    <w:p w14:paraId="40A6DA11"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-сайты рейтинговых агентств </w:t>
      </w:r>
      <w:hyperlink r:id="rId14" w:history="1">
        <w:r>
          <w:rPr>
            <w:rStyle w:val="a7"/>
            <w:rFonts w:eastAsiaTheme="majorEastAsia"/>
            <w:sz w:val="24"/>
            <w:szCs w:val="24"/>
          </w:rPr>
          <w:t>https://www.acra-ratings.ru</w:t>
        </w:r>
      </w:hyperlink>
      <w:r>
        <w:rPr>
          <w:rFonts w:ascii="Times New Roman" w:hAnsi="Times New Roman"/>
          <w:sz w:val="24"/>
          <w:szCs w:val="24"/>
        </w:rPr>
        <w:t xml:space="preserve">; </w:t>
      </w:r>
      <w:hyperlink r:id="rId15" w:history="1">
        <w:r>
          <w:rPr>
            <w:rStyle w:val="a7"/>
            <w:rFonts w:eastAsiaTheme="majorEastAsia"/>
            <w:sz w:val="24"/>
            <w:szCs w:val="24"/>
          </w:rPr>
          <w:t>https://raexpert.ru</w:t>
        </w:r>
      </w:hyperlink>
      <w:r>
        <w:rPr>
          <w:rFonts w:ascii="Times New Roman" w:hAnsi="Times New Roman"/>
          <w:sz w:val="24"/>
          <w:szCs w:val="24"/>
        </w:rPr>
        <w:t xml:space="preserve">; </w:t>
      </w:r>
      <w:hyperlink r:id="rId16" w:history="1">
        <w:r>
          <w:rPr>
            <w:rStyle w:val="a7"/>
            <w:rFonts w:eastAsiaTheme="majorEastAsia"/>
            <w:sz w:val="24"/>
            <w:szCs w:val="24"/>
          </w:rPr>
          <w:t>https://www.fitchratings.com</w:t>
        </w:r>
      </w:hyperlink>
      <w:r>
        <w:rPr>
          <w:rFonts w:ascii="Times New Roman" w:hAnsi="Times New Roman"/>
          <w:sz w:val="24"/>
          <w:szCs w:val="24"/>
        </w:rPr>
        <w:t>; https://www.standardandpoors.com;</w:t>
      </w:r>
    </w:p>
    <w:p w14:paraId="5C088A3A"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-официальный сайт контрагента/эмитента/;</w:t>
      </w:r>
    </w:p>
    <w:p w14:paraId="4EABBAEC"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сервис предоставления бухгалтерской (годовой) отчетности Росстата </w:t>
      </w:r>
      <w:hyperlink r:id="rId17" w:history="1">
        <w:r>
          <w:rPr>
            <w:rStyle w:val="a7"/>
            <w:rFonts w:eastAsiaTheme="majorEastAsia"/>
            <w:sz w:val="24"/>
            <w:szCs w:val="24"/>
          </w:rPr>
          <w:t>http://www.gks.ru/accounting_report</w:t>
        </w:r>
      </w:hyperlink>
      <w:r>
        <w:rPr>
          <w:rFonts w:ascii="Times New Roman" w:hAnsi="Times New Roman"/>
          <w:sz w:val="24"/>
          <w:szCs w:val="24"/>
        </w:rPr>
        <w:t>;</w:t>
      </w:r>
    </w:p>
    <w:p w14:paraId="2D2EC02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иные источники информации, доступные Управляющей компании.</w:t>
      </w:r>
    </w:p>
    <w:p w14:paraId="758DAE5E" w14:textId="77777777" w:rsidR="000C1E0E" w:rsidRDefault="000C1E0E" w:rsidP="000C1E0E">
      <w:pPr>
        <w:pStyle w:val="afc"/>
        <w:numPr>
          <w:ilvl w:val="0"/>
          <w:numId w:val="8"/>
        </w:numPr>
        <w:spacing w:line="240" w:lineRule="auto"/>
        <w:ind w:hanging="11"/>
        <w:rPr>
          <w:rFonts w:ascii="Times New Roman" w:hAnsi="Times New Roman"/>
          <w:sz w:val="24"/>
          <w:szCs w:val="24"/>
        </w:rPr>
      </w:pPr>
      <w:r>
        <w:rPr>
          <w:rFonts w:ascii="Times New Roman" w:hAnsi="Times New Roman"/>
          <w:sz w:val="24"/>
          <w:szCs w:val="24"/>
        </w:rPr>
        <w:t>В отношении физических лиц:</w:t>
      </w:r>
    </w:p>
    <w:p w14:paraId="57673A11"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картотека арбитражных дел </w:t>
      </w:r>
      <w:hyperlink r:id="rId18" w:history="1">
        <w:r>
          <w:rPr>
            <w:rStyle w:val="a7"/>
            <w:rFonts w:eastAsiaTheme="majorEastAsia"/>
            <w:sz w:val="24"/>
            <w:szCs w:val="24"/>
          </w:rPr>
          <w:t>https://kad.arbitr.ru</w:t>
        </w:r>
      </w:hyperlink>
    </w:p>
    <w:p w14:paraId="2E2B8A00"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единый федеральный реестр сведений о банкротстве </w:t>
      </w:r>
      <w:hyperlink r:id="rId19" w:history="1">
        <w:r>
          <w:rPr>
            <w:rStyle w:val="a7"/>
            <w:rFonts w:eastAsiaTheme="majorEastAsia"/>
            <w:sz w:val="24"/>
            <w:szCs w:val="24"/>
          </w:rPr>
          <w:t>https://bankrot.fedresurs.ru</w:t>
        </w:r>
      </w:hyperlink>
    </w:p>
    <w:p w14:paraId="5759E416"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издание «Коммерсант» - </w:t>
      </w:r>
      <w:hyperlink r:id="rId20" w:history="1">
        <w:r>
          <w:rPr>
            <w:rStyle w:val="a7"/>
            <w:rFonts w:eastAsiaTheme="majorEastAsia"/>
            <w:sz w:val="24"/>
            <w:szCs w:val="24"/>
          </w:rPr>
          <w:t>https://bankruptcy.kommersant.ru</w:t>
        </w:r>
      </w:hyperlink>
    </w:p>
    <w:p w14:paraId="2E9001C6"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В случае фактической просрочки погашения дебиторской задолженности, управляющая компания ПИФ должна обесценивать Тестируемые активы, исходя из срока просроченной задолженности, с учетом кредитного риска конкретного дебитора. Расчет обесценения должен основываться на статистических данных, подтверждающих степень обесценения, в зависимости от срока просроченной задолженности, кредитного качества дебитора и ожидаемых к получению денежных потоков.</w:t>
      </w:r>
    </w:p>
    <w:p w14:paraId="65A0E457"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В случае, если справедливая стоимость актива определялась на основании отчета оценщика, с даты оценки которого прошло менее 6 месяцев до даты возникновения признаков обесценения актива, при возникновении события, ведущего к обесценению актива, Управляющая компания вправе применять такой отчет с обязательной корректировкой стоимости, указанной в отчете, в соответствии с методом корректировки справедливой стоимости, предусмотренной настоящим пунктом. В максимально короткие сроки отчет оценщика необходимо актуализировать. </w:t>
      </w:r>
    </w:p>
    <w:p w14:paraId="6864CE85"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При наличии указанной выше информации о предполагаемых кредитных рисках, для корректировки справедливой стоимости активов используется методика оценки кредитного риска в соответствии с Приложением №2 к настоящим Правилам.</w:t>
      </w:r>
    </w:p>
    <w:p w14:paraId="7E53BA40"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Порядок определения справедливой стоимости денежных средств на расчетных счетах (включая соглашение о минимальном неснижаемом остатке), брокерских счетах и денежных средств, размещенных во вкладах в кредитных организациях по договорам банковского вклада (далее-депозит).</w:t>
      </w:r>
    </w:p>
    <w:p w14:paraId="6D1D25B4"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Справедливая стоимость денежных средств на счетах, в том числе на транзитных, валютных счетах, открытых на имя управляющей компании Д.У. ПИФ, определяется в сумме остатка на счетах.</w:t>
      </w:r>
    </w:p>
    <w:p w14:paraId="123C5F5B"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Справедливая стоимость денежных средств, находящихся у брокера (дебиторская задолженность брокера по возврату денежных средств, находящихся на специальном брокерском счете) определяется в сумме остатка на специальном брокерском счете брокера. </w:t>
      </w:r>
    </w:p>
    <w:p w14:paraId="3122EE5E"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В случае, если на остаток денежных средств на расчетном счете банком начисляются проценты, при этом ограничений на использование денежных средств не накладывается, такие проценты признаются в момент их зачисления банком на расчетный счет.</w:t>
      </w:r>
    </w:p>
    <w:p w14:paraId="241F4A7E"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Справедливая стоимость депозитов в течение максимального срока, предусмотренного договором, определяется:</w:t>
      </w:r>
    </w:p>
    <w:p w14:paraId="5F797C0B"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в сумме остатка денежных средств во вкладе, увеличенной на сумму процентов, рассчитанных на дату определения СЧА по ставке, предусмотренной договором, если срок погашения вклада «до востребования»;</w:t>
      </w:r>
    </w:p>
    <w:p w14:paraId="52989BA5"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в сумме остатка денежных средств во вкладе, увеличенного на сумму процентов, рассчитанных на дату определения СЧА по ставке, предусмотренной договором для удержания денежных средств во вкладе в течение максимального срока, предусмотренного договором (включая депозиты, дата погашения которых приходится на другой отчетный год), если срок погашения вклада составляет не более 1 (Одного) года и ставка по договору признана рыночной на дату определения справедливой стоимости в соответствии с п 3.17.4 настоящих Правил.</w:t>
      </w:r>
    </w:p>
    <w:p w14:paraId="4397E720"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в сумме, определенной с использованием метода приведенной стоимости будущих денежных потоков в соответствии с п. 3.17 настоящих Правил - в иных случаях. </w:t>
      </w:r>
    </w:p>
    <w:p w14:paraId="358A9CD4" w14:textId="77777777" w:rsidR="000C1E0E" w:rsidRDefault="000C1E0E" w:rsidP="000C1E0E">
      <w:pPr>
        <w:widowControl w:val="0"/>
        <w:spacing w:before="60" w:after="60" w:line="240" w:lineRule="auto"/>
        <w:ind w:left="709"/>
        <w:outlineLvl w:val="1"/>
        <w:rPr>
          <w:rFonts w:ascii="Times New Roman" w:hAnsi="Times New Roman"/>
          <w:sz w:val="24"/>
          <w:szCs w:val="24"/>
        </w:rPr>
      </w:pPr>
      <w:r>
        <w:rPr>
          <w:rFonts w:ascii="Times New Roman" w:hAnsi="Times New Roman"/>
          <w:sz w:val="24"/>
          <w:szCs w:val="24"/>
        </w:rPr>
        <w:t>В случае внесения изменения в условия определения срока договора, максимальный срок определяется в соответствии с изменённым сроком депозита, действующим на дату определения СЧА без суммирования сроков депозита.</w:t>
      </w:r>
    </w:p>
    <w:p w14:paraId="21AF4191" w14:textId="77777777" w:rsidR="000C1E0E" w:rsidRDefault="000C1E0E" w:rsidP="000C1E0E">
      <w:pPr>
        <w:pStyle w:val="afc"/>
        <w:widowControl w:val="0"/>
        <w:spacing w:before="60" w:after="60" w:line="240" w:lineRule="auto"/>
        <w:outlineLvl w:val="1"/>
        <w:rPr>
          <w:rFonts w:ascii="Times New Roman" w:hAnsi="Times New Roman"/>
          <w:sz w:val="24"/>
          <w:szCs w:val="24"/>
        </w:rPr>
      </w:pPr>
      <w:r>
        <w:rPr>
          <w:rFonts w:ascii="Times New Roman" w:hAnsi="Times New Roman"/>
          <w:sz w:val="24"/>
          <w:szCs w:val="24"/>
        </w:rPr>
        <w:t>Справедливая стоимость депозита, в случае необходимости, определяется с учетом корректировки на кредитное обесценение в соответствии с порядком, указанным в п 3.13. настоящих Правил.</w:t>
      </w:r>
    </w:p>
    <w:p w14:paraId="5B731544" w14:textId="77777777" w:rsidR="000C1E0E" w:rsidRDefault="000C1E0E" w:rsidP="000C1E0E">
      <w:pPr>
        <w:pStyle w:val="afc"/>
        <w:widowControl w:val="0"/>
        <w:numPr>
          <w:ilvl w:val="1"/>
          <w:numId w:val="4"/>
        </w:numPr>
        <w:spacing w:before="60" w:after="60" w:line="240" w:lineRule="auto"/>
        <w:jc w:val="both"/>
        <w:outlineLvl w:val="1"/>
        <w:rPr>
          <w:rFonts w:ascii="Times New Roman" w:hAnsi="Times New Roman"/>
          <w:sz w:val="24"/>
          <w:szCs w:val="24"/>
        </w:rPr>
      </w:pPr>
      <w:r>
        <w:rPr>
          <w:rFonts w:ascii="Times New Roman" w:hAnsi="Times New Roman"/>
          <w:b/>
          <w:sz w:val="24"/>
          <w:szCs w:val="24"/>
        </w:rPr>
        <w:t>Справедливая стоимость драгоценных металлов и требований к кредитной организации</w:t>
      </w:r>
      <w:r>
        <w:rPr>
          <w:rFonts w:ascii="Times New Roman" w:hAnsi="Times New Roman"/>
          <w:sz w:val="24"/>
          <w:szCs w:val="24"/>
        </w:rPr>
        <w:t xml:space="preserve"> выплатить денежный эквивалент драгоценных металлов определяется  по ценам London Metal Exchange (LMAUDY LME Comdty для золота, PLDMLNPM Index для палладия, PLTMLNPM Index</w:t>
      </w:r>
      <w:r>
        <w:rPr>
          <w:rFonts w:ascii="Times New Roman" w:hAnsi="Times New Roman"/>
          <w:bCs/>
          <w:sz w:val="24"/>
          <w:szCs w:val="24"/>
          <w:shd w:val="clear" w:color="auto" w:fill="FFFFFF"/>
        </w:rPr>
        <w:t xml:space="preserve">  для платины, </w:t>
      </w:r>
      <w:r>
        <w:rPr>
          <w:rFonts w:ascii="Times New Roman" w:hAnsi="Times New Roman"/>
          <w:sz w:val="24"/>
          <w:szCs w:val="24"/>
        </w:rPr>
        <w:t>LMAGDY LME для серебра) в случае, если у управляющей компании есть доступ к данному рынку, исходя из принадлежащей фонду массы драгоценных металлов или объема требований к кредитной организации выплатить денежный эквивалент драгоценных металлов. Цены London Metal Exchange за одну тройскую унцию переводятся в цену за грамм путем деления на 31,1034768 и приведения к рублю по курсу, установленному настоящими Правилами определения СЧА для конвертации стоимостей, выраженных в одной валюте, в другую валюту.</w:t>
      </w:r>
    </w:p>
    <w:p w14:paraId="6903B761" w14:textId="77777777" w:rsidR="000C1E0E" w:rsidRDefault="000C1E0E" w:rsidP="000C1E0E">
      <w:pPr>
        <w:widowControl w:val="0"/>
        <w:spacing w:before="60" w:after="60" w:line="240" w:lineRule="auto"/>
        <w:ind w:left="709"/>
        <w:outlineLvl w:val="1"/>
        <w:rPr>
          <w:rFonts w:ascii="Times New Roman" w:hAnsi="Times New Roman"/>
          <w:sz w:val="24"/>
          <w:szCs w:val="24"/>
        </w:rPr>
      </w:pPr>
      <w:r>
        <w:rPr>
          <w:rFonts w:ascii="Times New Roman" w:hAnsi="Times New Roman"/>
          <w:sz w:val="24"/>
          <w:szCs w:val="24"/>
        </w:rPr>
        <w:t>При отсутствии доступа к London Metal Exchange или отсутствии цены на дату определения СЧА на London Metal Exchange справедливая стоимость драгоценных металлов и требований к кредитной организации выплатить денежный эквивалент драгоценных металлов рассчитывается на дату определения СЧА по ценам Банка России.</w:t>
      </w:r>
    </w:p>
    <w:p w14:paraId="4E9EF0BC" w14:textId="77777777" w:rsidR="000C1E0E" w:rsidRDefault="000C1E0E" w:rsidP="000C1E0E">
      <w:pPr>
        <w:widowControl w:val="0"/>
        <w:spacing w:before="60" w:after="60" w:line="240" w:lineRule="auto"/>
        <w:ind w:left="709"/>
        <w:outlineLvl w:val="1"/>
        <w:rPr>
          <w:rFonts w:ascii="Times New Roman" w:hAnsi="Times New Roman"/>
          <w:sz w:val="24"/>
          <w:szCs w:val="24"/>
        </w:rPr>
      </w:pPr>
      <w:r>
        <w:rPr>
          <w:rFonts w:ascii="Times New Roman" w:hAnsi="Times New Roman"/>
          <w:sz w:val="24"/>
          <w:szCs w:val="24"/>
        </w:rPr>
        <w:t>Справедливая стоимость требований к кредитной организации выплатить денежный эквивалент драгоценных металлов корректируется в соответствии с порядком, указанным в п. 3.13. настоящих Правил.</w:t>
      </w:r>
    </w:p>
    <w:p w14:paraId="428636BC"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Порядок оценки дебиторской задолженности.</w:t>
      </w:r>
    </w:p>
    <w:p w14:paraId="31EEAD5A"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b/>
          <w:sz w:val="24"/>
          <w:szCs w:val="24"/>
        </w:rPr>
        <w:t xml:space="preserve">Справедливая стоимость дебиторской задолженности по процентному (купонному) доходу </w:t>
      </w:r>
      <w:r>
        <w:rPr>
          <w:rFonts w:ascii="Times New Roman" w:hAnsi="Times New Roman"/>
          <w:sz w:val="24"/>
          <w:szCs w:val="24"/>
        </w:rPr>
        <w:t>по составляющим активы Фонда долговым ценным бумагам определяется 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 с указанной даты до наступления наиболее ранней из дат:</w:t>
      </w:r>
    </w:p>
    <w:p w14:paraId="2C7D347B"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фактического исполнения эмитентом соответствующего обязательства;</w:t>
      </w:r>
    </w:p>
    <w:p w14:paraId="5A5323E8"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истечения 7-ми рабочих дней с даты наступления срока исполнения обязательства российским эмитентом, 10-ти рабочих дней с даты наступления срока исполнения обязательства иностранным эмитентом;</w:t>
      </w:r>
    </w:p>
    <w:p w14:paraId="42955139"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Дебиторская задолженность корректируется в соответствии с порядком, указанным в п. 3.13. настоящих Правил.</w:t>
      </w:r>
    </w:p>
    <w:p w14:paraId="7559DEA8"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b/>
          <w:sz w:val="24"/>
          <w:szCs w:val="24"/>
        </w:rPr>
        <w:t>Справедливая стоимость дебиторской задолженности по частичному/полному погашению эмитентом основного долга по долговым ценным бумагам</w:t>
      </w:r>
      <w:r>
        <w:rPr>
          <w:rFonts w:ascii="Times New Roman" w:hAnsi="Times New Roman"/>
          <w:sz w:val="24"/>
          <w:szCs w:val="24"/>
        </w:rPr>
        <w:t xml:space="preserve">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ценных бумаг на дату наступления указанного срока - с указанной даты до наступления наиболее ранней из дат:</w:t>
      </w:r>
    </w:p>
    <w:p w14:paraId="13BFC2E7"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фактического исполнения эмитентом обязательства;</w:t>
      </w:r>
    </w:p>
    <w:p w14:paraId="3EA4D2BD"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по истечению 7-ми рабочих дней с даты наступления срока исполнения обязательства российским эмитентом, 10-ти рабочих дней с даты наступления срока исполнения обязательства иностранным эмитентом</w:t>
      </w:r>
    </w:p>
    <w:p w14:paraId="543566B0"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Дебиторская задолженность корректируется в соответствии с порядком, указанным в п.3.13. настоящих Правил.</w:t>
      </w:r>
    </w:p>
    <w:p w14:paraId="1FB15976" w14:textId="77777777" w:rsidR="000C1E0E" w:rsidRDefault="000C1E0E" w:rsidP="000C1E0E">
      <w:pPr>
        <w:widowControl w:val="0"/>
        <w:numPr>
          <w:ilvl w:val="2"/>
          <w:numId w:val="4"/>
        </w:numPr>
        <w:spacing w:before="60" w:after="60" w:line="240" w:lineRule="auto"/>
        <w:ind w:left="709"/>
        <w:outlineLvl w:val="1"/>
        <w:rPr>
          <w:rFonts w:ascii="Times New Roman" w:hAnsi="Times New Roman"/>
          <w:sz w:val="24"/>
          <w:szCs w:val="24"/>
        </w:rPr>
      </w:pPr>
      <w:r>
        <w:rPr>
          <w:rFonts w:ascii="Times New Roman" w:hAnsi="Times New Roman"/>
          <w:b/>
          <w:sz w:val="24"/>
          <w:szCs w:val="24"/>
        </w:rPr>
        <w:t>Справедливая стоимость дебиторской задолженности по выплате дивидендов по акциям, дохода по депозитарным распискам, паям паевых инвестиционных фондов и паев (акций) иностранных инвестиционных фондов</w:t>
      </w:r>
      <w:r>
        <w:rPr>
          <w:rFonts w:ascii="Times New Roman" w:hAnsi="Times New Roman"/>
          <w:sz w:val="24"/>
          <w:szCs w:val="24"/>
        </w:rPr>
        <w:t xml:space="preserve"> определяется исходя из количества акций/депозитарных расписок/паев паевых инвестиционных фондов/паев (акций) иностранных инвестиционных фондов, учтенных на счете депо Фонда на дату, на которую определяются лица, имеющие право на получение дивиденда (дохода) и объявленного размера дивиденда (дохода), приходящегося на одну акцию (депозитарную расписку, пай паевого инвестиционного фонда или пай (акцию) иностранного инвестиционного фонда) соответствующей категории (типа) Дебиторская задолженность корректируется в соответствии с порядком, указанным в п. 3.13. настоящих Правил.</w:t>
      </w:r>
    </w:p>
    <w:p w14:paraId="71C1D071" w14:textId="77777777" w:rsidR="000C1E0E" w:rsidRDefault="000C1E0E" w:rsidP="000C1E0E">
      <w:pPr>
        <w:widowControl w:val="0"/>
        <w:numPr>
          <w:ilvl w:val="2"/>
          <w:numId w:val="4"/>
        </w:numPr>
        <w:spacing w:before="60" w:after="60" w:line="240" w:lineRule="auto"/>
        <w:ind w:left="708"/>
        <w:outlineLvl w:val="1"/>
        <w:rPr>
          <w:rFonts w:ascii="Times New Roman" w:hAnsi="Times New Roman"/>
          <w:sz w:val="24"/>
          <w:szCs w:val="24"/>
        </w:rPr>
      </w:pPr>
      <w:r>
        <w:rPr>
          <w:rFonts w:ascii="Times New Roman" w:hAnsi="Times New Roman"/>
          <w:b/>
          <w:sz w:val="24"/>
          <w:szCs w:val="24"/>
        </w:rPr>
        <w:t>Справедливая стоимость прочей дебиторской задолженности определяется:</w:t>
      </w:r>
    </w:p>
    <w:p w14:paraId="33667151" w14:textId="77777777" w:rsidR="000C1E0E" w:rsidRDefault="000C1E0E" w:rsidP="000C1E0E">
      <w:pPr>
        <w:widowControl w:val="0"/>
        <w:spacing w:before="60" w:after="60" w:line="240" w:lineRule="auto"/>
        <w:ind w:left="-12" w:firstLine="720"/>
        <w:outlineLvl w:val="1"/>
        <w:rPr>
          <w:rFonts w:ascii="Times New Roman" w:hAnsi="Times New Roman"/>
          <w:sz w:val="24"/>
          <w:szCs w:val="24"/>
        </w:rPr>
      </w:pPr>
      <w:r>
        <w:rPr>
          <w:rFonts w:ascii="Times New Roman" w:hAnsi="Times New Roman"/>
          <w:sz w:val="24"/>
          <w:szCs w:val="24"/>
          <w:lang w:val="en-US"/>
        </w:rPr>
        <w:t>a</w:t>
      </w:r>
      <w:r>
        <w:rPr>
          <w:rFonts w:ascii="Times New Roman" w:hAnsi="Times New Roman"/>
          <w:sz w:val="24"/>
          <w:szCs w:val="24"/>
        </w:rPr>
        <w:t>)</w:t>
      </w:r>
      <w:r>
        <w:rPr>
          <w:rFonts w:ascii="Times New Roman" w:hAnsi="Times New Roman"/>
          <w:b/>
          <w:sz w:val="24"/>
          <w:szCs w:val="24"/>
        </w:rPr>
        <w:t xml:space="preserve"> </w:t>
      </w:r>
      <w:r>
        <w:rPr>
          <w:rFonts w:ascii="Times New Roman" w:hAnsi="Times New Roman"/>
          <w:sz w:val="24"/>
          <w:szCs w:val="24"/>
        </w:rPr>
        <w:t>в сумме остатка дебиторской задолженности на дату определения СЧА:</w:t>
      </w:r>
    </w:p>
    <w:p w14:paraId="7C160A69" w14:textId="77777777" w:rsidR="000C1E0E" w:rsidRDefault="000C1E0E" w:rsidP="000C1E0E">
      <w:pPr>
        <w:widowControl w:val="0"/>
        <w:spacing w:before="60" w:after="60" w:line="240" w:lineRule="auto"/>
        <w:ind w:left="708"/>
        <w:outlineLvl w:val="1"/>
        <w:rPr>
          <w:rFonts w:ascii="Times New Roman" w:hAnsi="Times New Roman"/>
          <w:sz w:val="24"/>
          <w:szCs w:val="24"/>
        </w:rPr>
      </w:pPr>
      <w:r>
        <w:rPr>
          <w:rFonts w:ascii="Times New Roman" w:hAnsi="Times New Roman"/>
          <w:sz w:val="24"/>
          <w:szCs w:val="24"/>
        </w:rPr>
        <w:t>- если договором предусмотрено полное погашение задолженности в течение 1 года с момента ее признания до истечения срока полного погашения;</w:t>
      </w:r>
    </w:p>
    <w:p w14:paraId="749A641D"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для авансов, выданных за счет имущества Фонда, если договором предусмотрено полное погашение задолженности в течение 1 (одного) года с момента ее признания до истечения срока полного погашения;</w:t>
      </w:r>
    </w:p>
    <w:p w14:paraId="61FFA40B"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для дебиторской задолженности по налогам, сборам, пошлинам в бюджеты всех уровней;</w:t>
      </w:r>
    </w:p>
    <w:p w14:paraId="27452F69"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для дебиторской задолженности Управляющей компании перед Фондом, независимо от оснований ее признания;</w:t>
      </w:r>
    </w:p>
    <w:p w14:paraId="24389AD3"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для дебиторской задолженности, возникшей по договорам с аудиторской организацией, специализированным депозитарием, регистратором, указанными в Правилах доверительного управления Фондом;</w:t>
      </w:r>
    </w:p>
    <w:p w14:paraId="2A9855AA"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для дебиторской задолженности по возмещению суммы налогов из бюджета Российской Федерации.</w:t>
      </w:r>
    </w:p>
    <w:p w14:paraId="311B1966" w14:textId="32AB3AD6"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lang w:val="en-US"/>
        </w:rPr>
        <w:t>b</w:t>
      </w:r>
      <w:r w:rsidR="00E06251">
        <w:rPr>
          <w:rFonts w:ascii="Times New Roman" w:hAnsi="Times New Roman"/>
          <w:sz w:val="24"/>
          <w:szCs w:val="24"/>
        </w:rPr>
        <w:t xml:space="preserve">) в </w:t>
      </w:r>
      <w:r>
        <w:rPr>
          <w:rFonts w:ascii="Times New Roman" w:hAnsi="Times New Roman"/>
          <w:sz w:val="24"/>
          <w:szCs w:val="24"/>
        </w:rPr>
        <w:t>сумме, определенной с использованием метода приведенной стоимости будущих денежных потоков (п.3.17 настоящих Правил), в иных случаях.</w:t>
      </w:r>
    </w:p>
    <w:p w14:paraId="52FADA61" w14:textId="55CBB376" w:rsidR="008552F2" w:rsidRDefault="000C1E0E" w:rsidP="008552F2">
      <w:pPr>
        <w:widowControl w:val="0"/>
        <w:spacing w:before="60" w:after="60" w:line="240" w:lineRule="auto"/>
        <w:ind w:left="720"/>
        <w:outlineLvl w:val="1"/>
        <w:rPr>
          <w:rFonts w:ascii="Times New Roman" w:hAnsi="Times New Roman"/>
          <w:sz w:val="24"/>
          <w:szCs w:val="24"/>
        </w:rPr>
      </w:pPr>
      <w:r>
        <w:rPr>
          <w:rFonts w:ascii="Times New Roman" w:eastAsia="Batang" w:hAnsi="Times New Roman"/>
          <w:sz w:val="24"/>
          <w:szCs w:val="24"/>
        </w:rPr>
        <w:t>Справедливая стоимость дебиторской задолженности, возникшей в результате совершения сделок с имуществом Фонда, определяется в соответствии с порядком корректировки справедливой стоимости согласно п.</w:t>
      </w:r>
      <w:r>
        <w:rPr>
          <w:rFonts w:ascii="Times New Roman" w:hAnsi="Times New Roman"/>
          <w:sz w:val="24"/>
          <w:szCs w:val="24"/>
        </w:rPr>
        <w:t xml:space="preserve"> 3.13. настоящих Правил</w:t>
      </w:r>
      <w:r>
        <w:rPr>
          <w:rFonts w:ascii="Times New Roman" w:eastAsia="Batang" w:hAnsi="Times New Roman"/>
          <w:sz w:val="24"/>
          <w:szCs w:val="24"/>
        </w:rPr>
        <w:t>.</w:t>
      </w:r>
    </w:p>
    <w:p w14:paraId="5754A7B1"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Справедливой стоимостью дебиторской задолженности, возникшей в результате осуществления сделок с активами Фонда, признается стоимость актива, определенная договором (стандартными условиями сделки) в случае передачи актива, или сумма переданных денежных средств в случае покупки актива.</w:t>
      </w:r>
    </w:p>
    <w:p w14:paraId="65B210FB"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Справедливой стоимостью дебиторской задолженности брокера по денежным средствам, находящимся на брокерском счете, признается остаток денежных средств на конец дня после совершения всех операций с активами Фонда. Величина дебиторской задолженности брокера должна совпадать с суммой денежных средств, оставшихся в распоряжении брокера на основании Отчета брокера, составленного за день, на который определяется стоимость чистых активов. Справедливая стоимость дебиторской задолженности брокера признается равной 0 (ноль) в случае признания брокера банкротом с даты официального сообщения о банкротстве. </w:t>
      </w:r>
    </w:p>
    <w:p w14:paraId="7B426BA9" w14:textId="5FF73964"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Справедливой стоимостью дебиторской задолженности по причитающимся к получению дивидендам признается сумма, исчисленная исходя из количества ценных бумаг, учтенных по счету депо в Специализированном депозитарии на дату, на которую определяются лица, имеющие право на получение дивидендов, и размера дивидендов по данной категории (типу) акций, объявленных эмитентов.</w:t>
      </w:r>
    </w:p>
    <w:p w14:paraId="3E29239D"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 xml:space="preserve">Метод оценки по приведенной стоимости будущих денежных потоков </w:t>
      </w:r>
    </w:p>
    <w:p w14:paraId="4B480332"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Приведенная стоимость будущих денежных потоков рассчитывается по формуле:</w:t>
      </w:r>
    </w:p>
    <w:p w14:paraId="24AF61BE" w14:textId="77777777" w:rsidR="000C1E0E" w:rsidRDefault="000C1E0E" w:rsidP="000C1E0E">
      <w:pPr>
        <w:pStyle w:val="12"/>
        <w:tabs>
          <w:tab w:val="left" w:pos="993"/>
        </w:tabs>
        <w:spacing w:before="120" w:line="276" w:lineRule="auto"/>
        <w:ind w:left="1276"/>
        <w:jc w:val="both"/>
        <w:rPr>
          <w:rFonts w:eastAsia="Batang"/>
          <w:szCs w:val="24"/>
        </w:rPr>
      </w:pPr>
      <w:r>
        <w:rPr>
          <w:rFonts w:eastAsia="Batang"/>
          <w:szCs w:val="24"/>
        </w:rPr>
        <w:object w:dxaOrig="2115" w:dyaOrig="705" w14:anchorId="053E6D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5pt;height:35.15pt" o:ole="">
            <v:imagedata r:id="rId21" o:title=""/>
          </v:shape>
          <o:OLEObject Type="Embed" ProgID="Equation.3" ShapeID="_x0000_i1025" DrawAspect="Content" ObjectID="_1685873726" r:id="rId22"/>
        </w:object>
      </w:r>
    </w:p>
    <w:p w14:paraId="774581EC"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PV – справедливая стоимость актива (обязательства);</w:t>
      </w:r>
    </w:p>
    <w:p w14:paraId="40963B03"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N - количество денежных потоков до даты погашения актива (обязательства), начиная с даты определения СЧА;</w:t>
      </w:r>
    </w:p>
    <w:p w14:paraId="5E62BABA"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object w:dxaOrig="285" w:dyaOrig="375" w14:anchorId="46EE3BDF">
          <v:shape id="_x0000_i1026" type="#_x0000_t75" style="width:14.25pt;height:18.4pt" o:ole="">
            <v:imagedata r:id="rId23" o:title=""/>
          </v:shape>
          <o:OLEObject Type="Embed" ProgID="Equation.3" ShapeID="_x0000_i1026" DrawAspect="Content" ObjectID="_1685873727" r:id="rId24"/>
        </w:object>
      </w:r>
      <w:r>
        <w:rPr>
          <w:rFonts w:ascii="Times New Roman" w:hAnsi="Times New Roman"/>
          <w:sz w:val="24"/>
          <w:szCs w:val="24"/>
        </w:rPr>
        <w:t xml:space="preserve"> - сумма n-ого денежного потока (проценты и основная сумма); </w:t>
      </w:r>
    </w:p>
    <w:p w14:paraId="0CA26D35"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n - порядковый номер денежного потока, начиная с даты определения СЧА;</w:t>
      </w:r>
    </w:p>
    <w:p w14:paraId="4E44327D"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object w:dxaOrig="345" w:dyaOrig="375" w14:anchorId="3C7BB786">
          <v:shape id="_x0000_i1027" type="#_x0000_t75" style="width:17.6pt;height:18.4pt" o:ole="">
            <v:imagedata r:id="rId25" o:title=""/>
          </v:shape>
          <o:OLEObject Type="Embed" ProgID="Equation.3" ShapeID="_x0000_i1027" DrawAspect="Content" ObjectID="_1685873728" r:id="rId26"/>
        </w:object>
      </w:r>
      <w:r>
        <w:rPr>
          <w:rFonts w:ascii="Times New Roman" w:hAnsi="Times New Roman"/>
          <w:sz w:val="24"/>
          <w:szCs w:val="24"/>
        </w:rPr>
        <w:t xml:space="preserve"> - количество дней от даты определения СЧА до даты n-ого денежного потока;</w:t>
      </w:r>
    </w:p>
    <w:p w14:paraId="2951D402"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r - ставка дисконтирования в процентах годовых, определенная в соответствии с настоящими Правилами.</w:t>
      </w:r>
    </w:p>
    <w:p w14:paraId="433F0819" w14:textId="45C085CA"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Денежные потоки, включая процентный доход, рассчитываются в соответствии с условиями договора, датой денежного потока считается </w:t>
      </w:r>
      <w:r w:rsidR="005A49D2">
        <w:rPr>
          <w:rFonts w:ascii="Times New Roman" w:hAnsi="Times New Roman"/>
          <w:sz w:val="24"/>
          <w:szCs w:val="24"/>
        </w:rPr>
        <w:t xml:space="preserve">ожидаемая </w:t>
      </w:r>
      <w:r>
        <w:rPr>
          <w:rFonts w:ascii="Times New Roman" w:hAnsi="Times New Roman"/>
          <w:sz w:val="24"/>
          <w:szCs w:val="24"/>
        </w:rPr>
        <w:t xml:space="preserve">дата, в которую </w:t>
      </w:r>
      <w:r w:rsidR="005A49D2">
        <w:rPr>
          <w:rFonts w:ascii="Times New Roman" w:hAnsi="Times New Roman"/>
          <w:sz w:val="24"/>
          <w:szCs w:val="24"/>
        </w:rPr>
        <w:t xml:space="preserve">планируется </w:t>
      </w:r>
      <w:r>
        <w:rPr>
          <w:rFonts w:ascii="Times New Roman" w:hAnsi="Times New Roman"/>
          <w:sz w:val="24"/>
          <w:szCs w:val="24"/>
        </w:rPr>
        <w:t>поступление денежных средств, соответствующая дате окончания n-ого периода (за исключением случаев досрочного погашения основного долга).</w:t>
      </w:r>
    </w:p>
    <w:p w14:paraId="642689D6"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График денежных потоков корректируется в случае внесения изменений в договор, а также в случае частичного досрочного погашения основного долга.</w:t>
      </w:r>
    </w:p>
    <w:p w14:paraId="3582C004"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Ставка дисконтирования, используемая для метода приведенной стоимости будущих денежных потоков, возникает из наблюдаемых ставок доходности по сопоставимым активам или обязательствам, обращающимся на рынке. Соответственно, предусмотренные договором, потоки денежных средств дисконтируются по наблюдаемой или расчетной рыночной ставке для таких условных потоков денежных средств (то есть рыночной ставке доходности). </w:t>
      </w:r>
    </w:p>
    <w:p w14:paraId="740D3B28"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Ставка дисконтирования равна:</w:t>
      </w:r>
    </w:p>
    <w:p w14:paraId="3AA36857" w14:textId="3B40DD96" w:rsidR="000C1E0E" w:rsidRDefault="000C1E0E" w:rsidP="00855205">
      <w:pPr>
        <w:pStyle w:val="Default"/>
        <w:ind w:firstLine="708"/>
        <w:jc w:val="both"/>
      </w:pPr>
      <w:r>
        <w:t>- ставке, предусмотренной договором в течение максима</w:t>
      </w:r>
      <w:r w:rsidR="00855205">
        <w:t xml:space="preserve">льного срока, если ее значение </w:t>
      </w:r>
      <w:r>
        <w:t xml:space="preserve">находится в пределах диапазона </w:t>
      </w:r>
      <w:r w:rsidR="0074082C">
        <w:t xml:space="preserve">колебаний </w:t>
      </w:r>
      <w:r>
        <w:t>рыночной ставки за 12 месяцев от даты ее определения;</w:t>
      </w:r>
    </w:p>
    <w:p w14:paraId="05D54F40" w14:textId="355609EA" w:rsidR="00B33769" w:rsidRPr="00B33769" w:rsidRDefault="00B33769" w:rsidP="00B33769">
      <w:pPr>
        <w:pStyle w:val="Default"/>
        <w:jc w:val="both"/>
      </w:pPr>
      <w:r w:rsidRPr="00B33769">
        <w:t xml:space="preserve">            -рыночной ставке (</w:t>
      </w:r>
      <w:r w:rsidRPr="00B33769">
        <w:rPr>
          <w:b/>
          <w:bCs/>
        </w:rPr>
        <w:t>если ставка по договору выходит за границы диапазона рыночных ставок</w:t>
      </w:r>
      <w:r w:rsidRPr="00B33769">
        <w:t xml:space="preserve">); </w:t>
      </w:r>
    </w:p>
    <w:p w14:paraId="0FA2993B"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рыночной ставке на дату ее определения, если ставка по договору не установлена.</w:t>
      </w:r>
    </w:p>
    <w:p w14:paraId="6BDD1B90"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Ставка дисконтирования определяется по состоянию: </w:t>
      </w:r>
    </w:p>
    <w:p w14:paraId="1C7746D2"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на дату первоначального признания;</w:t>
      </w:r>
    </w:p>
    <w:p w14:paraId="26E4A229"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на дату изменения ключевой ставки Банка России (за исключением рыночной ставки в иностранной валюте);</w:t>
      </w:r>
    </w:p>
    <w:p w14:paraId="2C2DB764"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на дату определения справедливой стоимости активов Фонда.</w:t>
      </w:r>
    </w:p>
    <w:p w14:paraId="70E14F84" w14:textId="77777777" w:rsidR="000C1E0E" w:rsidRDefault="000C1E0E" w:rsidP="000C1E0E">
      <w:pPr>
        <w:pStyle w:val="afc"/>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Порядок признания процентной ставки рыночной</w:t>
      </w:r>
    </w:p>
    <w:p w14:paraId="0EB47324"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На дату определения СЧА производится проверка соответствия процентной ставки по депозиту, определенной в договоре банковского вклада, рыночным условиям.</w:t>
      </w:r>
    </w:p>
    <w:p w14:paraId="3BB1ED0B"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Процентная ставка по рублевому депозиту признается рыночной, если выполнено условие:</w:t>
      </w:r>
    </w:p>
    <w:p w14:paraId="33DF84FB" w14:textId="77777777" w:rsidR="000C1E0E" w:rsidRDefault="00C84628" w:rsidP="000C1E0E">
      <w:pPr>
        <w:pStyle w:val="afc"/>
        <w:widowControl w:val="0"/>
        <w:spacing w:before="60" w:after="60" w:line="240" w:lineRule="auto"/>
        <w:ind w:left="1418"/>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оц.ср.рын.</m:t>
            </m:r>
          </m:sub>
        </m:sSub>
        <m:r>
          <m:rPr>
            <m:sty m:val="p"/>
          </m:rPr>
          <w:rPr>
            <w:rFonts w:ascii="Cambria Math" w:hAnsi="Cambria Math"/>
            <w:sz w:val="24"/>
            <w:szCs w:val="24"/>
          </w:rPr>
          <m:t>*(1-</m:t>
        </m:r>
        <m:r>
          <w:rPr>
            <w:rFonts w:ascii="Cambria Math" w:hAnsi="Cambria Math"/>
            <w:sz w:val="24"/>
            <w:szCs w:val="24"/>
          </w:rPr>
          <m:t>KV</m:t>
        </m:r>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m:t>
            </m:r>
            <m:r>
              <w:rPr>
                <w:rFonts w:ascii="Cambria Math" w:hAnsi="Cambria Math"/>
                <w:sz w:val="24"/>
                <w:szCs w:val="24"/>
              </w:rPr>
              <m:t>r</m:t>
            </m:r>
          </m:e>
          <m:sub>
            <m:r>
              <m:rPr>
                <m:sty m:val="p"/>
              </m:rPr>
              <w:rPr>
                <w:rFonts w:ascii="Cambria Math" w:hAnsi="Cambria Math"/>
                <w:sz w:val="24"/>
                <w:szCs w:val="24"/>
              </w:rPr>
              <m:t>деп</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оц. ср.рын.</m:t>
            </m:r>
          </m:sub>
        </m:sSub>
        <m:r>
          <m:rPr>
            <m:sty m:val="p"/>
          </m:rPr>
          <w:rPr>
            <w:rFonts w:ascii="Cambria Math" w:hAnsi="Cambria Math"/>
            <w:sz w:val="24"/>
            <w:szCs w:val="24"/>
          </w:rPr>
          <m:t>*(1+</m:t>
        </m:r>
        <m:r>
          <w:rPr>
            <w:rFonts w:ascii="Cambria Math" w:hAnsi="Cambria Math"/>
            <w:sz w:val="24"/>
            <w:szCs w:val="24"/>
          </w:rPr>
          <m:t>KV</m:t>
        </m:r>
        <m:r>
          <m:rPr>
            <m:sty m:val="p"/>
          </m:rPr>
          <w:rPr>
            <w:rFonts w:ascii="Cambria Math" w:hAnsi="Cambria Math"/>
            <w:sz w:val="24"/>
            <w:szCs w:val="24"/>
          </w:rPr>
          <m:t>)</m:t>
        </m:r>
      </m:oMath>
      <w:r w:rsidR="000C1E0E">
        <w:rPr>
          <w:rFonts w:ascii="Times New Roman" w:hAnsi="Times New Roman"/>
          <w:sz w:val="24"/>
          <w:szCs w:val="24"/>
        </w:rPr>
        <w:t>,</w:t>
      </w:r>
    </w:p>
    <w:p w14:paraId="20FD5DB0"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где:</w:t>
      </w:r>
    </w:p>
    <w:p w14:paraId="32FFEDDF" w14:textId="77777777" w:rsidR="000C1E0E" w:rsidRDefault="00C84628"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деп</m:t>
            </m:r>
          </m:sub>
        </m:sSub>
      </m:oMath>
      <w:r w:rsidR="000C1E0E">
        <w:rPr>
          <w:rFonts w:ascii="Times New Roman" w:hAnsi="Times New Roman"/>
          <w:sz w:val="24"/>
          <w:szCs w:val="24"/>
        </w:rPr>
        <w:t xml:space="preserve"> - ставка по депозиту в процентах;</w:t>
      </w:r>
    </w:p>
    <w:p w14:paraId="1F55620D"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KV – коэффициент волатильности рыночной ставки на горизонте 12 месяцев, определяемый по формуле:</w:t>
      </w:r>
    </w:p>
    <w:p w14:paraId="299F3EA0"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p>
    <w:p w14:paraId="5D3258EA" w14:textId="77777777" w:rsidR="000C1E0E" w:rsidRDefault="000C1E0E" w:rsidP="000C1E0E">
      <w:pPr>
        <w:pStyle w:val="afc"/>
        <w:widowControl w:val="0"/>
        <w:spacing w:before="60" w:after="60" w:line="240" w:lineRule="auto"/>
        <w:ind w:left="709" w:firstLine="707"/>
        <w:jc w:val="both"/>
        <w:outlineLvl w:val="1"/>
        <w:rPr>
          <w:rFonts w:ascii="Times New Roman" w:hAnsi="Times New Roman"/>
          <w:sz w:val="24"/>
          <w:szCs w:val="24"/>
          <w:lang w:val="en-US"/>
        </w:rPr>
      </w:pPr>
      <w:r>
        <w:rPr>
          <w:rFonts w:ascii="Times New Roman" w:hAnsi="Times New Roman"/>
          <w:sz w:val="24"/>
          <w:szCs w:val="24"/>
          <w:lang w:val="en-US"/>
        </w:rPr>
        <w:t>KV=</w:t>
      </w:r>
      <m:oMath>
        <m:f>
          <m:fPr>
            <m:ctrlPr>
              <w:rPr>
                <w:rFonts w:ascii="Cambria Math" w:hAnsi="Cambria Math"/>
                <w:sz w:val="24"/>
                <w:szCs w:val="24"/>
              </w:rPr>
            </m:ctrlPr>
          </m:fPr>
          <m:num>
            <m:r>
              <w:rPr>
                <w:rFonts w:ascii="Cambria Math" w:hAnsi="Cambria Math"/>
                <w:sz w:val="24"/>
                <w:szCs w:val="24"/>
              </w:rPr>
              <m:t>max</m:t>
            </m:r>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m:t>
                </m:r>
                <m:r>
                  <m:rPr>
                    <m:sty m:val="p"/>
                  </m:rPr>
                  <w:rPr>
                    <w:rFonts w:ascii="Cambria Math" w:hAnsi="Cambria Math"/>
                    <w:sz w:val="24"/>
                    <w:szCs w:val="24"/>
                    <w:lang w:val="en-US"/>
                  </w:rPr>
                  <m:t>.</m:t>
                </m:r>
                <m:r>
                  <m:rPr>
                    <m:sty m:val="p"/>
                  </m:rPr>
                  <w:rPr>
                    <w:rFonts w:ascii="Cambria Math" w:hAnsi="Cambria Math"/>
                    <w:sz w:val="24"/>
                    <w:szCs w:val="24"/>
                  </w:rPr>
                  <m:t>рын</m:t>
                </m:r>
                <m:r>
                  <m:rPr>
                    <m:sty m:val="p"/>
                  </m:rPr>
                  <w:rPr>
                    <w:rFonts w:ascii="Cambria Math" w:hAnsi="Cambria Math"/>
                    <w:sz w:val="24"/>
                    <w:szCs w:val="24"/>
                    <w:lang w:val="en-US"/>
                  </w:rPr>
                  <m:t>.</m:t>
                </m:r>
              </m:sub>
            </m:sSub>
            <m:r>
              <m:rPr>
                <m:sty m:val="p"/>
              </m:rPr>
              <w:rPr>
                <w:rFonts w:ascii="Cambria Math" w:hAnsi="Cambria Math"/>
                <w:sz w:val="24"/>
                <w:szCs w:val="24"/>
                <w:lang w:val="en-US"/>
              </w:rPr>
              <m:t>-</m:t>
            </m:r>
            <m:sSub>
              <m:sSubPr>
                <m:ctrlPr>
                  <w:rPr>
                    <w:rFonts w:ascii="Cambria Math" w:hAnsi="Cambria Math"/>
                    <w:sz w:val="24"/>
                    <w:szCs w:val="24"/>
                  </w:rPr>
                </m:ctrlPr>
              </m:sSubPr>
              <m:e>
                <m:r>
                  <w:rPr>
                    <w:rFonts w:ascii="Cambria Math" w:hAnsi="Cambria Math"/>
                    <w:sz w:val="24"/>
                    <w:szCs w:val="24"/>
                  </w:rPr>
                  <m:t>minr</m:t>
                </m:r>
              </m:e>
              <m:sub>
                <m:r>
                  <m:rPr>
                    <m:sty m:val="p"/>
                  </m:rPr>
                  <w:rPr>
                    <w:rFonts w:ascii="Cambria Math" w:hAnsi="Cambria Math"/>
                    <w:sz w:val="24"/>
                    <w:szCs w:val="24"/>
                  </w:rPr>
                  <m:t>ср</m:t>
                </m:r>
                <m:r>
                  <m:rPr>
                    <m:sty m:val="p"/>
                  </m:rPr>
                  <w:rPr>
                    <w:rFonts w:ascii="Cambria Math" w:hAnsi="Cambria Math"/>
                    <w:sz w:val="24"/>
                    <w:szCs w:val="24"/>
                    <w:lang w:val="en-US"/>
                  </w:rPr>
                  <m:t>.</m:t>
                </m:r>
                <m:r>
                  <m:rPr>
                    <m:sty m:val="p"/>
                  </m:rPr>
                  <w:rPr>
                    <w:rFonts w:ascii="Cambria Math" w:hAnsi="Cambria Math"/>
                    <w:sz w:val="24"/>
                    <w:szCs w:val="24"/>
                  </w:rPr>
                  <m:t>рын</m:t>
                </m:r>
                <m:r>
                  <m:rPr>
                    <m:sty m:val="p"/>
                  </m:rPr>
                  <w:rPr>
                    <w:rFonts w:ascii="Cambria Math" w:hAnsi="Cambria Math"/>
                    <w:sz w:val="24"/>
                    <w:szCs w:val="24"/>
                    <w:lang w:val="en-US"/>
                  </w:rPr>
                  <m:t>.</m:t>
                </m:r>
              </m:sub>
            </m:sSub>
          </m:num>
          <m:den>
            <m:sSub>
              <m:sSubPr>
                <m:ctrlPr>
                  <w:rPr>
                    <w:rFonts w:ascii="Cambria Math" w:hAnsi="Cambria Math"/>
                    <w:sz w:val="24"/>
                    <w:szCs w:val="24"/>
                  </w:rPr>
                </m:ctrlPr>
              </m:sSubPr>
              <m:e>
                <m:r>
                  <w:rPr>
                    <w:rFonts w:ascii="Cambria Math" w:hAnsi="Cambria Math"/>
                    <w:sz w:val="24"/>
                    <w:szCs w:val="24"/>
                  </w:rPr>
                  <m:t>minr</m:t>
                </m:r>
              </m:e>
              <m:sub>
                <m:r>
                  <m:rPr>
                    <m:sty m:val="p"/>
                  </m:rPr>
                  <w:rPr>
                    <w:rFonts w:ascii="Cambria Math" w:hAnsi="Cambria Math"/>
                    <w:sz w:val="24"/>
                    <w:szCs w:val="24"/>
                  </w:rPr>
                  <m:t>ср</m:t>
                </m:r>
                <m:r>
                  <m:rPr>
                    <m:sty m:val="p"/>
                  </m:rPr>
                  <w:rPr>
                    <w:rFonts w:ascii="Cambria Math" w:hAnsi="Cambria Math"/>
                    <w:sz w:val="24"/>
                    <w:szCs w:val="24"/>
                    <w:lang w:val="en-US"/>
                  </w:rPr>
                  <m:t>.</m:t>
                </m:r>
                <m:r>
                  <m:rPr>
                    <m:sty m:val="p"/>
                  </m:rPr>
                  <w:rPr>
                    <w:rFonts w:ascii="Cambria Math" w:hAnsi="Cambria Math"/>
                    <w:sz w:val="24"/>
                    <w:szCs w:val="24"/>
                  </w:rPr>
                  <m:t>рын</m:t>
                </m:r>
                <m:r>
                  <m:rPr>
                    <m:sty m:val="p"/>
                  </m:rPr>
                  <w:rPr>
                    <w:rFonts w:ascii="Cambria Math" w:hAnsi="Cambria Math"/>
                    <w:sz w:val="24"/>
                    <w:szCs w:val="24"/>
                    <w:lang w:val="en-US"/>
                  </w:rPr>
                  <m:t>.</m:t>
                </m:r>
              </m:sub>
            </m:sSub>
          </m:den>
        </m:f>
      </m:oMath>
      <w:r>
        <w:rPr>
          <w:rFonts w:ascii="Times New Roman" w:hAnsi="Times New Roman"/>
          <w:sz w:val="24"/>
          <w:szCs w:val="24"/>
          <w:lang w:val="en-US"/>
        </w:rPr>
        <w:t xml:space="preserve"> ,</w:t>
      </w:r>
    </w:p>
    <w:p w14:paraId="6F89EC36"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где:</w:t>
      </w:r>
    </w:p>
    <w:p w14:paraId="1937C057"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m:oMath>
        <m:r>
          <w:rPr>
            <w:rFonts w:ascii="Cambria Math" w:hAnsi="Cambria Math"/>
            <w:sz w:val="24"/>
            <w:szCs w:val="24"/>
          </w:rPr>
          <m:t>max</m:t>
        </m:r>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oMath>
      <w:r>
        <w:rPr>
          <w:rFonts w:ascii="Times New Roman" w:hAnsi="Times New Roman"/>
          <w:sz w:val="24"/>
          <w:szCs w:val="24"/>
        </w:rPr>
        <w:t xml:space="preserve"> – максимальная средневзвешенная процентная ставка по привлеченным кредитными организациями вкладам (депозитам) нефинансовых организаций в рублях, опубликованная на официальном сайте Банка России за последние 12 месяцев до даты расчета СЧА.</w:t>
      </w:r>
    </w:p>
    <w:p w14:paraId="0ADA92AA" w14:textId="77777777" w:rsidR="000C1E0E" w:rsidRDefault="00C84628"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minr</m:t>
            </m:r>
          </m:e>
          <m:sub>
            <m:r>
              <m:rPr>
                <m:sty m:val="p"/>
              </m:rPr>
              <w:rPr>
                <w:rFonts w:ascii="Cambria Math" w:hAnsi="Cambria Math"/>
                <w:sz w:val="24"/>
                <w:szCs w:val="24"/>
              </w:rPr>
              <m:t>ср.рын.</m:t>
            </m:r>
          </m:sub>
        </m:sSub>
      </m:oMath>
      <w:r w:rsidR="000C1E0E">
        <w:rPr>
          <w:rFonts w:ascii="Times New Roman" w:hAnsi="Times New Roman"/>
          <w:sz w:val="24"/>
          <w:szCs w:val="24"/>
        </w:rPr>
        <w:t xml:space="preserve"> – минимальная средневзвешенная процентная ставка по привлеченным кредитными организациями вкладам (депозитам) нефинансовых организаций в рублях, опубликованная на официальном сайте Банка России за последние 12 месяцев до даты расчета СЧА.</w:t>
      </w:r>
    </w:p>
    <w:p w14:paraId="7E393B0D" w14:textId="77777777" w:rsidR="000C1E0E" w:rsidRDefault="00C84628"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оц.ср.рын.</m:t>
            </m:r>
          </m:sub>
        </m:sSub>
      </m:oMath>
      <w:r w:rsidR="000C1E0E">
        <w:rPr>
          <w:rFonts w:ascii="Times New Roman" w:hAnsi="Times New Roman"/>
          <w:sz w:val="24"/>
          <w:szCs w:val="24"/>
        </w:rPr>
        <w:t xml:space="preserve"> - оценка средневзвешенной рыночной процентной ставки, определенная по формуле:</w:t>
      </w:r>
    </w:p>
    <w:p w14:paraId="749B63DF" w14:textId="77777777" w:rsidR="000C1E0E" w:rsidRDefault="00C84628" w:rsidP="000C1E0E">
      <w:pPr>
        <w:pStyle w:val="afc"/>
        <w:widowControl w:val="0"/>
        <w:spacing w:before="60" w:after="60" w:line="240" w:lineRule="auto"/>
        <w:ind w:left="1418"/>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оц.ср.рын.</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(КС</m:t>
            </m:r>
          </m:e>
          <m:sub>
            <m:r>
              <m:rPr>
                <m:sty m:val="p"/>
              </m:rPr>
              <w:rPr>
                <w:rFonts w:ascii="Cambria Math" w:hAnsi="Cambria Math"/>
                <w:sz w:val="24"/>
                <w:szCs w:val="24"/>
              </w:rPr>
              <m:t>д.о.</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КС</m:t>
            </m:r>
          </m:e>
          <m:sub>
            <m:r>
              <m:rPr>
                <m:sty m:val="p"/>
              </m:rPr>
              <w:rPr>
                <w:rFonts w:ascii="Cambria Math" w:hAnsi="Cambria Math"/>
                <w:sz w:val="24"/>
                <w:szCs w:val="24"/>
              </w:rPr>
              <m:t>ср.</m:t>
            </m:r>
          </m:sub>
        </m:sSub>
        <m:r>
          <m:rPr>
            <m:sty m:val="p"/>
          </m:rPr>
          <w:rPr>
            <w:rFonts w:ascii="Cambria Math" w:hAnsi="Cambria Math"/>
            <w:sz w:val="24"/>
            <w:szCs w:val="24"/>
          </w:rPr>
          <m:t>)</m:t>
        </m:r>
      </m:oMath>
      <w:r w:rsidR="000C1E0E">
        <w:rPr>
          <w:rFonts w:ascii="Times New Roman" w:hAnsi="Times New Roman"/>
          <w:sz w:val="24"/>
          <w:szCs w:val="24"/>
        </w:rPr>
        <w:t>,</w:t>
      </w:r>
    </w:p>
    <w:p w14:paraId="08534F7C"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где:</w:t>
      </w:r>
    </w:p>
    <w:p w14:paraId="7F1D0A0E" w14:textId="77777777" w:rsidR="000C1E0E" w:rsidRDefault="00C84628"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oMath>
      <w:r w:rsidR="000C1E0E">
        <w:rPr>
          <w:rFonts w:ascii="Times New Roman" w:hAnsi="Times New Roman"/>
          <w:sz w:val="24"/>
          <w:szCs w:val="24"/>
        </w:rPr>
        <w:t xml:space="preserve"> - средневзвешенная процентная ставка по привлеченным кредитными организациями вкладам (депозитам) нефинансовых организаций в рублях, публикуемая на официальном сайте Банка России, за месяц, наиболее близкий к дате оценки, по депозитам со сроком привлечения, попадающим в тот же интервал, что и срок, оставшийся на отчетную дату до погашения оцениваемого депозита;</w:t>
      </w:r>
    </w:p>
    <w:p w14:paraId="1817BC44" w14:textId="77777777" w:rsidR="000C1E0E" w:rsidRDefault="00C84628"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КС</m:t>
            </m:r>
          </m:e>
          <m:sub>
            <m:r>
              <m:rPr>
                <m:sty m:val="p"/>
              </m:rPr>
              <w:rPr>
                <w:rFonts w:ascii="Cambria Math" w:hAnsi="Cambria Math"/>
                <w:sz w:val="24"/>
                <w:szCs w:val="24"/>
              </w:rPr>
              <m:t>д.о.</m:t>
            </m:r>
          </m:sub>
        </m:sSub>
      </m:oMath>
      <w:r w:rsidR="000C1E0E">
        <w:rPr>
          <w:rFonts w:ascii="Times New Roman" w:hAnsi="Times New Roman"/>
          <w:sz w:val="24"/>
          <w:szCs w:val="24"/>
        </w:rPr>
        <w:t xml:space="preserve"> - ключевая ставка Банка России, установленная на дату оценки;</w:t>
      </w:r>
    </w:p>
    <w:p w14:paraId="619E35DF" w14:textId="77777777" w:rsidR="000C1E0E" w:rsidRDefault="00C84628"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КС</m:t>
            </m:r>
          </m:e>
          <m:sub>
            <m:r>
              <m:rPr>
                <m:sty m:val="p"/>
              </m:rPr>
              <w:rPr>
                <w:rFonts w:ascii="Cambria Math" w:hAnsi="Cambria Math"/>
                <w:sz w:val="24"/>
                <w:szCs w:val="24"/>
              </w:rPr>
              <m:t>ср.</m:t>
            </m:r>
          </m:sub>
        </m:sSub>
      </m:oMath>
      <w:r w:rsidR="000C1E0E">
        <w:rPr>
          <w:rFonts w:ascii="Times New Roman" w:hAnsi="Times New Roman"/>
          <w:sz w:val="24"/>
          <w:szCs w:val="24"/>
        </w:rPr>
        <w:t xml:space="preserve">  - средняя ключевая ставка  Банка России за календарный месяц, за который определена ставка </w:t>
      </w: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oMath>
      <w:r w:rsidR="000C1E0E">
        <w:rPr>
          <w:rFonts w:ascii="Times New Roman" w:hAnsi="Times New Roman"/>
          <w:sz w:val="24"/>
          <w:szCs w:val="24"/>
        </w:rPr>
        <w:t>.</w:t>
      </w:r>
    </w:p>
    <w:p w14:paraId="0D859C8F" w14:textId="68FDC6EF"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Средняя за календарный месяц ключевая ставка Банка России рассчитывается по формуле:</w:t>
      </w:r>
    </w:p>
    <w:p w14:paraId="59D3C6AE" w14:textId="77777777" w:rsidR="000C1E0E" w:rsidRDefault="00C84628" w:rsidP="000C1E0E">
      <w:pPr>
        <w:widowControl w:val="0"/>
        <w:tabs>
          <w:tab w:val="left" w:pos="1985"/>
        </w:tabs>
        <w:spacing w:before="60" w:after="60" w:line="240" w:lineRule="auto"/>
        <w:ind w:left="709"/>
        <w:outlineLvl w:val="1"/>
        <w:rPr>
          <w:rFonts w:ascii="Times New Roman" w:hAnsi="Times New Roman"/>
          <w:sz w:val="24"/>
          <w:szCs w:val="24"/>
        </w:rPr>
      </w:pPr>
      <m:oMathPara>
        <m:oMath>
          <m:sSub>
            <m:sSubPr>
              <m:ctrlPr>
                <w:rPr>
                  <w:rFonts w:ascii="Cambria Math" w:hAnsi="Cambria Math"/>
                  <w:sz w:val="24"/>
                  <w:szCs w:val="24"/>
                </w:rPr>
              </m:ctrlPr>
            </m:sSubPr>
            <m:e>
              <m:r>
                <m:rPr>
                  <m:sty m:val="p"/>
                </m:rPr>
                <w:rPr>
                  <w:rFonts w:ascii="Cambria Math" w:hAnsi="Cambria Math"/>
                  <w:sz w:val="24"/>
                  <w:szCs w:val="24"/>
                </w:rPr>
                <m:t>КС</m:t>
              </m:r>
            </m:e>
            <m:sub>
              <m:r>
                <m:rPr>
                  <m:sty m:val="p"/>
                </m:rPr>
                <w:rPr>
                  <w:rFonts w:ascii="Cambria Math" w:hAnsi="Cambria Math"/>
                  <w:sz w:val="24"/>
                  <w:szCs w:val="24"/>
                </w:rPr>
                <m:t>ср.</m:t>
              </m:r>
            </m:sub>
          </m:sSub>
          <m:r>
            <m:rPr>
              <m:sty m:val="p"/>
            </m:rPr>
            <w:rPr>
              <w:rFonts w:ascii="Cambria Math" w:hAnsi="Cambria Math"/>
              <w:sz w:val="24"/>
              <w:szCs w:val="24"/>
            </w:rPr>
            <m:t>=</m:t>
          </m:r>
          <m:f>
            <m:fPr>
              <m:ctrlPr>
                <w:rPr>
                  <w:rFonts w:ascii="Cambria Math" w:hAnsi="Cambria Math"/>
                  <w:sz w:val="24"/>
                  <w:szCs w:val="24"/>
                </w:rPr>
              </m:ctrlPr>
            </m:fPr>
            <m:num>
              <m:nary>
                <m:naryPr>
                  <m:chr m:val="∑"/>
                  <m:limLoc m:val="undOvr"/>
                  <m:supHide m:val="1"/>
                  <m:ctrlPr>
                    <w:rPr>
                      <w:rFonts w:ascii="Cambria Math" w:hAnsi="Cambria Math"/>
                      <w:sz w:val="24"/>
                      <w:szCs w:val="24"/>
                    </w:rPr>
                  </m:ctrlPr>
                </m:naryPr>
                <m:sub>
                  <m:r>
                    <w:rPr>
                      <w:rFonts w:ascii="Cambria Math" w:hAnsi="Cambria Math"/>
                      <w:sz w:val="24"/>
                      <w:szCs w:val="24"/>
                    </w:rPr>
                    <m:t>i</m:t>
                  </m:r>
                </m:sub>
                <m:sup/>
                <m:e>
                  <m:sSub>
                    <m:sSubPr>
                      <m:ctrlPr>
                        <w:rPr>
                          <w:rFonts w:ascii="Cambria Math" w:hAnsi="Cambria Math"/>
                          <w:sz w:val="24"/>
                          <w:szCs w:val="24"/>
                        </w:rPr>
                      </m:ctrlPr>
                    </m:sSubPr>
                    <m:e>
                      <m:r>
                        <m:rPr>
                          <m:sty m:val="p"/>
                        </m:rPr>
                        <w:rPr>
                          <w:rFonts w:ascii="Cambria Math" w:hAnsi="Cambria Math"/>
                          <w:sz w:val="24"/>
                          <w:szCs w:val="24"/>
                        </w:rPr>
                        <m:t>КС</m:t>
                      </m:r>
                    </m:e>
                    <m:sub>
                      <m:r>
                        <w:rPr>
                          <w:rFonts w:ascii="Cambria Math" w:hAnsi="Cambria Math"/>
                          <w:sz w:val="24"/>
                          <w:szCs w:val="24"/>
                        </w:rPr>
                        <m:t>i</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T</m:t>
                      </m:r>
                    </m:e>
                    <m:sub>
                      <m:r>
                        <w:rPr>
                          <w:rFonts w:ascii="Cambria Math" w:hAnsi="Cambria Math"/>
                          <w:sz w:val="24"/>
                          <w:szCs w:val="24"/>
                        </w:rPr>
                        <m:t>i</m:t>
                      </m:r>
                    </m:sub>
                  </m:sSub>
                </m:e>
              </m:nary>
            </m:num>
            <m:den>
              <m:r>
                <w:rPr>
                  <w:rFonts w:ascii="Cambria Math" w:hAnsi="Cambria Math"/>
                  <w:sz w:val="24"/>
                  <w:szCs w:val="24"/>
                </w:rPr>
                <m:t>T</m:t>
              </m:r>
            </m:den>
          </m:f>
          <m:r>
            <m:rPr>
              <m:sty m:val="p"/>
            </m:rPr>
            <w:rPr>
              <w:rFonts w:ascii="Cambria Math" w:hAnsi="Cambria Math"/>
              <w:sz w:val="24"/>
              <w:szCs w:val="24"/>
            </w:rPr>
            <m:t>,</m:t>
          </m:r>
        </m:oMath>
      </m:oMathPara>
    </w:p>
    <w:p w14:paraId="2C79EBE9"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где:</w:t>
      </w:r>
    </w:p>
    <w:p w14:paraId="5C5C164B"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m:oMath>
        <m:r>
          <m:rPr>
            <m:sty m:val="p"/>
          </m:rPr>
          <w:rPr>
            <w:rFonts w:ascii="Cambria Math" w:hAnsi="Cambria Math"/>
            <w:sz w:val="24"/>
            <w:szCs w:val="24"/>
          </w:rPr>
          <m:t>T</m:t>
        </m:r>
      </m:oMath>
      <w:r>
        <w:rPr>
          <w:rFonts w:ascii="Times New Roman" w:hAnsi="Times New Roman"/>
          <w:sz w:val="24"/>
          <w:szCs w:val="24"/>
        </w:rPr>
        <w:t xml:space="preserve"> - количество дней в календарном месяце, за который рассчитывается процентная ставка;</w:t>
      </w:r>
    </w:p>
    <w:p w14:paraId="53D0347B" w14:textId="77777777" w:rsidR="000C1E0E" w:rsidRDefault="00C84628"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КС</m:t>
            </m:r>
          </m:e>
          <m:sub>
            <m:r>
              <w:rPr>
                <w:rFonts w:ascii="Cambria Math" w:hAnsi="Cambria Math"/>
                <w:sz w:val="24"/>
                <w:szCs w:val="24"/>
              </w:rPr>
              <m:t>i</m:t>
            </m:r>
          </m:sub>
        </m:sSub>
      </m:oMath>
      <w:r w:rsidR="000C1E0E">
        <w:rPr>
          <w:rFonts w:ascii="Times New Roman" w:hAnsi="Times New Roman"/>
          <w:sz w:val="24"/>
          <w:szCs w:val="24"/>
        </w:rPr>
        <w:t xml:space="preserve"> - ключевая ставка Банка России, действовавшая в i-ом периоде календарного месяца,</w:t>
      </w:r>
    </w:p>
    <w:p w14:paraId="757A2879" w14:textId="77777777" w:rsidR="000C1E0E" w:rsidRDefault="00C84628"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T</m:t>
            </m:r>
          </m:e>
          <m:sub>
            <m:r>
              <w:rPr>
                <w:rFonts w:ascii="Cambria Math" w:hAnsi="Cambria Math"/>
                <w:sz w:val="24"/>
                <w:szCs w:val="24"/>
              </w:rPr>
              <m:t>i</m:t>
            </m:r>
          </m:sub>
        </m:sSub>
      </m:oMath>
      <w:r w:rsidR="000C1E0E">
        <w:rPr>
          <w:rFonts w:ascii="Times New Roman" w:hAnsi="Times New Roman"/>
          <w:sz w:val="24"/>
          <w:szCs w:val="24"/>
        </w:rPr>
        <w:t xml:space="preserve">  - количество дней календарного месяца, в течение которых действовала процентная ставка </w:t>
      </w:r>
      <m:oMath>
        <m:sSub>
          <m:sSubPr>
            <m:ctrlPr>
              <w:rPr>
                <w:rFonts w:ascii="Cambria Math" w:hAnsi="Cambria Math"/>
                <w:sz w:val="24"/>
                <w:szCs w:val="24"/>
              </w:rPr>
            </m:ctrlPr>
          </m:sSubPr>
          <m:e>
            <m:r>
              <m:rPr>
                <m:sty m:val="p"/>
              </m:rPr>
              <w:rPr>
                <w:rFonts w:ascii="Cambria Math" w:hAnsi="Cambria Math"/>
                <w:sz w:val="24"/>
                <w:szCs w:val="24"/>
              </w:rPr>
              <m:t>КС</m:t>
            </m:r>
          </m:e>
          <m:sub>
            <m:r>
              <w:rPr>
                <w:rFonts w:ascii="Cambria Math" w:hAnsi="Cambria Math"/>
                <w:sz w:val="24"/>
                <w:szCs w:val="24"/>
              </w:rPr>
              <m:t>i</m:t>
            </m:r>
          </m:sub>
        </m:sSub>
      </m:oMath>
      <w:r w:rsidR="000C1E0E">
        <w:rPr>
          <w:rFonts w:ascii="Times New Roman" w:hAnsi="Times New Roman"/>
          <w:sz w:val="24"/>
          <w:szCs w:val="24"/>
        </w:rPr>
        <w:t>.</w:t>
      </w:r>
    </w:p>
    <w:p w14:paraId="6A6FA955"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В том случае, если процентная ставка по рублевому депозиту признается рыночной, в качестве выбранной рыночной ставки признается ставка по депозитному договору.</w:t>
      </w:r>
    </w:p>
    <w:p w14:paraId="58C019FD"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В том случае, если процентная ставка по рублевому депозиту не признается рыночной, в качестве рыночной признается ставка</w:t>
      </w:r>
      <m:oMath>
        <m:r>
          <m:rPr>
            <m:sty m:val="p"/>
          </m:rP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оц.ср.рын.</m:t>
            </m:r>
          </m:sub>
        </m:sSub>
      </m:oMath>
      <w:r>
        <w:rPr>
          <w:rFonts w:ascii="Times New Roman" w:hAnsi="Times New Roman"/>
          <w:sz w:val="24"/>
          <w:szCs w:val="24"/>
        </w:rPr>
        <w:t>.</w:t>
      </w:r>
    </w:p>
    <w:p w14:paraId="5CB1DF44"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Процентная ставка по депозиту в долларах США или Евро признается рыночной, если выполнено условие:</w:t>
      </w:r>
    </w:p>
    <w:p w14:paraId="2ECF242C" w14:textId="77777777" w:rsidR="000C1E0E" w:rsidRDefault="00C84628" w:rsidP="000C1E0E">
      <w:pPr>
        <w:pStyle w:val="afc"/>
        <w:widowControl w:val="0"/>
        <w:spacing w:before="60" w:after="60" w:line="240" w:lineRule="auto"/>
        <w:ind w:left="2127"/>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r>
          <m:rPr>
            <m:sty m:val="p"/>
          </m:rPr>
          <w:rPr>
            <w:rFonts w:ascii="Cambria Math" w:hAnsi="Cambria Math"/>
            <w:sz w:val="24"/>
            <w:szCs w:val="24"/>
          </w:rPr>
          <m:t>*(1-</m:t>
        </m:r>
        <m:r>
          <w:rPr>
            <w:rFonts w:ascii="Cambria Math" w:hAnsi="Cambria Math"/>
            <w:sz w:val="24"/>
            <w:szCs w:val="24"/>
          </w:rPr>
          <m:t>KV</m:t>
        </m:r>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m:t>
            </m:r>
            <m:r>
              <w:rPr>
                <w:rFonts w:ascii="Cambria Math" w:hAnsi="Cambria Math"/>
                <w:sz w:val="24"/>
                <w:szCs w:val="24"/>
              </w:rPr>
              <m:t>r</m:t>
            </m:r>
          </m:e>
          <m:sub>
            <m:r>
              <m:rPr>
                <m:sty m:val="p"/>
              </m:rPr>
              <w:rPr>
                <w:rFonts w:ascii="Cambria Math" w:hAnsi="Cambria Math"/>
                <w:sz w:val="24"/>
                <w:szCs w:val="24"/>
              </w:rPr>
              <m:t>деп</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r>
          <m:rPr>
            <m:sty m:val="p"/>
          </m:rPr>
          <w:rPr>
            <w:rFonts w:ascii="Cambria Math" w:hAnsi="Cambria Math"/>
            <w:sz w:val="24"/>
            <w:szCs w:val="24"/>
          </w:rPr>
          <m:t>*(1+</m:t>
        </m:r>
        <m:r>
          <w:rPr>
            <w:rFonts w:ascii="Cambria Math" w:hAnsi="Cambria Math"/>
            <w:sz w:val="24"/>
            <w:szCs w:val="24"/>
          </w:rPr>
          <m:t>KV</m:t>
        </m:r>
        <m:r>
          <m:rPr>
            <m:sty m:val="p"/>
          </m:rPr>
          <w:rPr>
            <w:rFonts w:ascii="Cambria Math" w:hAnsi="Cambria Math"/>
            <w:sz w:val="24"/>
            <w:szCs w:val="24"/>
          </w:rPr>
          <m:t>)</m:t>
        </m:r>
      </m:oMath>
      <w:r w:rsidR="000C1E0E">
        <w:rPr>
          <w:rFonts w:ascii="Times New Roman" w:hAnsi="Times New Roman"/>
          <w:sz w:val="24"/>
          <w:szCs w:val="24"/>
        </w:rPr>
        <w:t>,</w:t>
      </w:r>
    </w:p>
    <w:p w14:paraId="5BAB781C"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где:</w:t>
      </w:r>
    </w:p>
    <w:p w14:paraId="5C2BB8FD"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 xml:space="preserve">KV – коэффициент волатильности рыночной ставки за последние 12 месяцев, определяемый по соответствующим средневзвешенным ставкам </w:t>
      </w: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oMath>
      <w:r>
        <w:rPr>
          <w:rFonts w:ascii="Times New Roman" w:hAnsi="Times New Roman"/>
          <w:sz w:val="24"/>
          <w:szCs w:val="24"/>
        </w:rPr>
        <w:t xml:space="preserve">, аналогично определению коэффициента волатильности по рублевым ставкам;      </w:t>
      </w: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деп</m:t>
            </m:r>
          </m:sub>
        </m:sSub>
      </m:oMath>
      <w:r>
        <w:rPr>
          <w:rFonts w:ascii="Times New Roman" w:hAnsi="Times New Roman"/>
          <w:sz w:val="24"/>
          <w:szCs w:val="24"/>
        </w:rPr>
        <w:t xml:space="preserve"> - ставка по депозиту в процентах;</w:t>
      </w:r>
    </w:p>
    <w:p w14:paraId="1464B48E" w14:textId="77777777" w:rsidR="000C1E0E" w:rsidRDefault="00C84628"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oMath>
      <w:r w:rsidR="000C1E0E">
        <w:rPr>
          <w:rFonts w:ascii="Times New Roman" w:hAnsi="Times New Roman"/>
          <w:sz w:val="24"/>
          <w:szCs w:val="24"/>
        </w:rPr>
        <w:t xml:space="preserve"> - средневзвешенная процентная ставка по привлеченным кредитными организациями вкладам (депозитам) нефинансовых организаций в валюте, соответствующей валюте депозита, публикуемая на официальном сайте Банка России, за месяц, наиболее близкий к дате оценки, по депозитам со сроком привлечения, попадающим в тот же интервал, что и срок, оставшийся на отчетную дату до погашения оцениваемого депозита.</w:t>
      </w:r>
    </w:p>
    <w:p w14:paraId="766F5B9D"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В том случае, если процентная ставка по депозиту в долларах США или Евро, признается рыночной, в качестве выбранной рыночной ставки признается ставка по депозитному договору.</w:t>
      </w:r>
    </w:p>
    <w:p w14:paraId="291A806F"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 xml:space="preserve">В том случае, если процентная ставка по депозиту в долларах США или Евро, не признается рыночной, в качестве рыночной признается ставка </w:t>
      </w: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oMath>
      <w:r>
        <w:rPr>
          <w:rFonts w:ascii="Times New Roman" w:hAnsi="Times New Roman"/>
          <w:sz w:val="24"/>
          <w:szCs w:val="24"/>
        </w:rPr>
        <w:t>.</w:t>
      </w:r>
    </w:p>
    <w:p w14:paraId="78BDF976"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В случае внесения изменений и дополнений в Правила определения СЧА в части изменения вида рыночной ставки для активов (обязательств), признанных до вступления в силу изменений и дополнений в Правила определения СЧА, новая рыночная ставка применяется с даты вступления в силу новых Правил определения СЧА.</w:t>
      </w:r>
    </w:p>
    <w:p w14:paraId="2B182D96"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Средневзвешенная ставка определяется в отношении каждого вида актива (обязательства) в соответствии со следующей таблицей:</w:t>
      </w:r>
    </w:p>
    <w:tbl>
      <w:tblPr>
        <w:tblStyle w:val="a5"/>
        <w:tblW w:w="9180" w:type="dxa"/>
        <w:tblInd w:w="704" w:type="dxa"/>
        <w:tblLayout w:type="fixed"/>
        <w:tblLook w:val="04A0" w:firstRow="1" w:lastRow="0" w:firstColumn="1" w:lastColumn="0" w:noHBand="0" w:noVBand="1"/>
      </w:tblPr>
      <w:tblGrid>
        <w:gridCol w:w="2125"/>
        <w:gridCol w:w="3687"/>
        <w:gridCol w:w="3368"/>
      </w:tblGrid>
      <w:tr w:rsidR="000C1E0E" w14:paraId="7E2CA2A7" w14:textId="77777777" w:rsidTr="0085143C">
        <w:tc>
          <w:tcPr>
            <w:tcW w:w="2125" w:type="dxa"/>
            <w:tcBorders>
              <w:top w:val="single" w:sz="4" w:space="0" w:color="auto"/>
              <w:left w:val="single" w:sz="4" w:space="0" w:color="auto"/>
              <w:bottom w:val="single" w:sz="4" w:space="0" w:color="auto"/>
              <w:right w:val="single" w:sz="4" w:space="0" w:color="auto"/>
            </w:tcBorders>
            <w:shd w:val="clear" w:color="auto" w:fill="FFFFFF"/>
            <w:hideMark/>
          </w:tcPr>
          <w:p w14:paraId="5999A7C9" w14:textId="77777777" w:rsidR="000C1E0E" w:rsidRDefault="000C1E0E" w:rsidP="0098752B">
            <w:pPr>
              <w:autoSpaceDE w:val="0"/>
              <w:autoSpaceDN w:val="0"/>
              <w:adjustRightInd w:val="0"/>
              <w:rPr>
                <w:rFonts w:ascii="Times New Roman" w:hAnsi="Times New Roman"/>
                <w:b/>
                <w:i/>
                <w:sz w:val="24"/>
                <w:szCs w:val="24"/>
              </w:rPr>
            </w:pPr>
            <w:r>
              <w:rPr>
                <w:rFonts w:ascii="Times New Roman" w:hAnsi="Times New Roman"/>
                <w:b/>
                <w:i/>
                <w:sz w:val="24"/>
                <w:szCs w:val="24"/>
              </w:rPr>
              <w:t>Вид актива/</w:t>
            </w:r>
          </w:p>
          <w:p w14:paraId="76C6B11E" w14:textId="77777777" w:rsidR="000C1E0E" w:rsidRDefault="000C1E0E" w:rsidP="0098752B">
            <w:pPr>
              <w:autoSpaceDE w:val="0"/>
              <w:autoSpaceDN w:val="0"/>
              <w:adjustRightInd w:val="0"/>
              <w:spacing w:line="276" w:lineRule="auto"/>
              <w:rPr>
                <w:rFonts w:ascii="Times New Roman" w:hAnsi="Times New Roman"/>
                <w:b/>
                <w:i/>
                <w:sz w:val="24"/>
                <w:szCs w:val="24"/>
              </w:rPr>
            </w:pPr>
            <w:r>
              <w:rPr>
                <w:rFonts w:ascii="Times New Roman" w:hAnsi="Times New Roman"/>
                <w:b/>
                <w:i/>
                <w:sz w:val="24"/>
                <w:szCs w:val="24"/>
              </w:rPr>
              <w:t>обязательства</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3F85C9B4" w14:textId="77777777" w:rsidR="000C1E0E" w:rsidRDefault="000C1E0E" w:rsidP="0098752B">
            <w:pPr>
              <w:autoSpaceDE w:val="0"/>
              <w:autoSpaceDN w:val="0"/>
              <w:adjustRightInd w:val="0"/>
              <w:spacing w:line="276" w:lineRule="auto"/>
              <w:rPr>
                <w:rFonts w:ascii="Times New Roman" w:hAnsi="Times New Roman"/>
                <w:b/>
                <w:i/>
                <w:sz w:val="24"/>
                <w:szCs w:val="24"/>
              </w:rPr>
            </w:pPr>
            <w:r>
              <w:rPr>
                <w:rFonts w:ascii="Times New Roman" w:hAnsi="Times New Roman"/>
                <w:b/>
                <w:i/>
                <w:sz w:val="24"/>
                <w:szCs w:val="24"/>
              </w:rPr>
              <w:t>Средневзвешенная ставка</w:t>
            </w:r>
          </w:p>
        </w:tc>
        <w:tc>
          <w:tcPr>
            <w:tcW w:w="3368" w:type="dxa"/>
            <w:tcBorders>
              <w:top w:val="single" w:sz="4" w:space="0" w:color="auto"/>
              <w:left w:val="single" w:sz="4" w:space="0" w:color="auto"/>
              <w:bottom w:val="single" w:sz="4" w:space="0" w:color="auto"/>
              <w:right w:val="single" w:sz="4" w:space="0" w:color="auto"/>
            </w:tcBorders>
            <w:shd w:val="clear" w:color="auto" w:fill="FFFFFF"/>
            <w:hideMark/>
          </w:tcPr>
          <w:p w14:paraId="0A97D756" w14:textId="77777777" w:rsidR="000C1E0E" w:rsidRDefault="000C1E0E" w:rsidP="0098752B">
            <w:pPr>
              <w:autoSpaceDE w:val="0"/>
              <w:autoSpaceDN w:val="0"/>
              <w:adjustRightInd w:val="0"/>
              <w:spacing w:line="276" w:lineRule="auto"/>
              <w:rPr>
                <w:rFonts w:ascii="Times New Roman" w:hAnsi="Times New Roman"/>
                <w:b/>
                <w:i/>
                <w:sz w:val="24"/>
                <w:szCs w:val="24"/>
              </w:rPr>
            </w:pPr>
            <w:r>
              <w:rPr>
                <w:rFonts w:ascii="Times New Roman" w:hAnsi="Times New Roman"/>
                <w:b/>
                <w:i/>
                <w:sz w:val="24"/>
                <w:szCs w:val="24"/>
              </w:rPr>
              <w:t>Источники информации</w:t>
            </w:r>
          </w:p>
        </w:tc>
      </w:tr>
      <w:tr w:rsidR="000C1E0E" w14:paraId="2D516FD2" w14:textId="77777777" w:rsidTr="0085143C">
        <w:tc>
          <w:tcPr>
            <w:tcW w:w="2125" w:type="dxa"/>
            <w:tcBorders>
              <w:top w:val="single" w:sz="4" w:space="0" w:color="auto"/>
              <w:left w:val="single" w:sz="4" w:space="0" w:color="auto"/>
              <w:bottom w:val="single" w:sz="4" w:space="0" w:color="auto"/>
              <w:right w:val="single" w:sz="4" w:space="0" w:color="auto"/>
            </w:tcBorders>
            <w:hideMark/>
          </w:tcPr>
          <w:p w14:paraId="1168EB83" w14:textId="77777777" w:rsidR="000C1E0E" w:rsidRDefault="000C1E0E" w:rsidP="0098752B">
            <w:pPr>
              <w:spacing w:line="276" w:lineRule="auto"/>
              <w:rPr>
                <w:rFonts w:ascii="Times New Roman" w:hAnsi="Times New Roman"/>
                <w:sz w:val="24"/>
                <w:szCs w:val="24"/>
              </w:rPr>
            </w:pPr>
            <w:r>
              <w:rPr>
                <w:rFonts w:ascii="Times New Roman" w:hAnsi="Times New Roman"/>
                <w:sz w:val="24"/>
                <w:szCs w:val="24"/>
              </w:rPr>
              <w:t>Вклад (депозит)</w:t>
            </w:r>
          </w:p>
        </w:tc>
        <w:tc>
          <w:tcPr>
            <w:tcW w:w="3687" w:type="dxa"/>
            <w:tcBorders>
              <w:top w:val="single" w:sz="4" w:space="0" w:color="auto"/>
              <w:left w:val="single" w:sz="4" w:space="0" w:color="auto"/>
              <w:bottom w:val="single" w:sz="4" w:space="0" w:color="auto"/>
              <w:right w:val="single" w:sz="4" w:space="0" w:color="auto"/>
            </w:tcBorders>
            <w:hideMark/>
          </w:tcPr>
          <w:p w14:paraId="30E3F781" w14:textId="77777777" w:rsidR="0085143C" w:rsidRPr="00767D8F" w:rsidRDefault="000C1E0E" w:rsidP="0085143C">
            <w:pPr>
              <w:spacing w:line="276" w:lineRule="auto"/>
              <w:rPr>
                <w:rFonts w:ascii="Times New Roman" w:hAnsi="Times New Roman"/>
                <w:sz w:val="24"/>
                <w:szCs w:val="24"/>
              </w:rPr>
            </w:pPr>
            <w:r w:rsidRPr="00767D8F">
              <w:rPr>
                <w:rFonts w:ascii="Times New Roman" w:hAnsi="Times New Roman"/>
                <w:sz w:val="24"/>
                <w:szCs w:val="24"/>
              </w:rPr>
              <w:t>Средневзвешенная процентная ставки по привлеченным кредитными организациями вкладам (депозитам) нефинансовых организаций в рублях и иностранной валюте в целом по Российской Федерации, раскрываемая на официальном сайте Банка России.</w:t>
            </w:r>
            <w:r w:rsidR="0085143C" w:rsidRPr="00767D8F">
              <w:rPr>
                <w:rFonts w:ascii="Times New Roman" w:hAnsi="Times New Roman"/>
                <w:sz w:val="24"/>
                <w:szCs w:val="24"/>
              </w:rPr>
              <w:t xml:space="preserve"> </w:t>
            </w:r>
          </w:p>
          <w:p w14:paraId="011FCA66" w14:textId="6E392E87" w:rsidR="000C1E0E" w:rsidRPr="00767D8F" w:rsidRDefault="0085143C" w:rsidP="0085143C">
            <w:pPr>
              <w:spacing w:line="276" w:lineRule="auto"/>
              <w:rPr>
                <w:rFonts w:ascii="Times New Roman" w:hAnsi="Times New Roman"/>
                <w:sz w:val="24"/>
                <w:szCs w:val="24"/>
              </w:rPr>
            </w:pPr>
            <w:r w:rsidRPr="00767D8F">
              <w:rPr>
                <w:rFonts w:ascii="Times New Roman" w:hAnsi="Times New Roman"/>
                <w:sz w:val="24"/>
                <w:szCs w:val="24"/>
              </w:rPr>
              <w:t>Если Банк входит в перечень крупных системнообразующих банков, то ставка принимается равной ставке рефинансирования.</w:t>
            </w:r>
          </w:p>
        </w:tc>
        <w:tc>
          <w:tcPr>
            <w:tcW w:w="3368" w:type="dxa"/>
            <w:tcBorders>
              <w:top w:val="single" w:sz="4" w:space="0" w:color="auto"/>
              <w:left w:val="single" w:sz="4" w:space="0" w:color="auto"/>
              <w:bottom w:val="single" w:sz="4" w:space="0" w:color="auto"/>
              <w:right w:val="single" w:sz="4" w:space="0" w:color="auto"/>
            </w:tcBorders>
          </w:tcPr>
          <w:p w14:paraId="3BA45B4F" w14:textId="77777777" w:rsidR="000C1E0E" w:rsidRPr="00767D8F" w:rsidRDefault="000C1E0E" w:rsidP="000C1E0E">
            <w:pPr>
              <w:numPr>
                <w:ilvl w:val="0"/>
                <w:numId w:val="9"/>
              </w:numPr>
              <w:spacing w:line="276" w:lineRule="auto"/>
              <w:ind w:left="106" w:firstLine="0"/>
              <w:contextualSpacing/>
              <w:rPr>
                <w:rFonts w:ascii="Times New Roman" w:hAnsi="Times New Roman"/>
                <w:sz w:val="24"/>
                <w:szCs w:val="24"/>
              </w:rPr>
            </w:pPr>
            <w:r w:rsidRPr="00767D8F">
              <w:rPr>
                <w:rFonts w:ascii="Times New Roman" w:hAnsi="Times New Roman"/>
                <w:sz w:val="24"/>
                <w:szCs w:val="24"/>
              </w:rPr>
              <w:t xml:space="preserve">Официальный сайт Банка России </w:t>
            </w:r>
            <w:hyperlink r:id="rId27" w:history="1">
              <w:r w:rsidRPr="00767D8F">
                <w:rPr>
                  <w:rStyle w:val="a7"/>
                  <w:rFonts w:eastAsiaTheme="majorEastAsia"/>
                  <w:sz w:val="24"/>
                  <w:szCs w:val="24"/>
                </w:rPr>
                <w:t>http://www.cbr.ru/statistics/?PrtId=int_rat</w:t>
              </w:r>
            </w:hyperlink>
            <w:r w:rsidRPr="00767D8F">
              <w:rPr>
                <w:rFonts w:ascii="Times New Roman" w:hAnsi="Times New Roman"/>
                <w:sz w:val="24"/>
                <w:szCs w:val="24"/>
              </w:rPr>
              <w:t>, Сведения по вкладам (депозитам) физических лиц и нефинансовых организаций в целом по Российской Федерации в рублях, долларах США и евро.</w:t>
            </w:r>
          </w:p>
          <w:p w14:paraId="2B4FBEA4" w14:textId="77777777" w:rsidR="000C1E0E" w:rsidRPr="00767D8F" w:rsidRDefault="000C1E0E" w:rsidP="0098752B">
            <w:pPr>
              <w:spacing w:line="276" w:lineRule="auto"/>
              <w:ind w:left="106"/>
              <w:contextualSpacing/>
              <w:rPr>
                <w:rFonts w:ascii="Times New Roman" w:hAnsi="Times New Roman"/>
                <w:sz w:val="24"/>
                <w:szCs w:val="24"/>
              </w:rPr>
            </w:pPr>
          </w:p>
        </w:tc>
      </w:tr>
    </w:tbl>
    <w:p w14:paraId="2B6E8C6C"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Корректировка средневзвешенных ставок при изменении рыночных условий </w:t>
      </w:r>
    </w:p>
    <w:p w14:paraId="4B0DE12D"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Если последняя раскрытая на сайте Банка России средневзвешенная ставка рассчитана ранее, чем за месяц первоначального признания/ после первоначального признания, для определения рыночной ставки применяется следующий подход: </w:t>
      </w:r>
    </w:p>
    <w:p w14:paraId="6E84624C"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a) ключевая ставка Банка России, действовавшая в месяце, за который определена средневзвешенная ставка, сравнивается с ключевой ставкой Банка России, действующей в месяце первоначального признания/после первоначального признания; </w:t>
      </w:r>
    </w:p>
    <w:p w14:paraId="67BBED7A"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b) если ключевая ставка Банка России не изменилась до момента первоначального признания, в качестве рыночной ставки при первоначальном признании/после первоначального признания применяется последняя раскрытая средневзвешенная ставка; </w:t>
      </w:r>
    </w:p>
    <w:p w14:paraId="2F924281"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c) если ключевая ставка Банка России изменилась до момента первоначального признания/после первоначального признания, в качестве рыночной ставки при первоначальном признании/после первоначального признания применяется последняя раскрытая средневзвешенная ставка, измененная на то же количество пунктов, на которое изменилась ключевая ставка Банка России.</w:t>
      </w:r>
    </w:p>
    <w:p w14:paraId="190E18E5"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Порядок оценки обязательств</w:t>
      </w:r>
    </w:p>
    <w:p w14:paraId="4CDDCE5A"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Справедливой стоимостью обязательств по выдаче инвестиционных паев признается сумма денежных средств, поступившая на банковский счет, открытый Управляющей компанией для учета имущества Фонда в оплату инвестиционных паев.</w:t>
      </w:r>
    </w:p>
    <w:p w14:paraId="74421F45"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Справедливой стоимостью обязательств по выплате денежной компенсации при погашении инвестиционных паев признается сумма денежных средств, причитающаяся к выплате владельцам инвестиционных паев, рассчитанная лицом, осуществляющим ведение реестра инвестиционных паев и согласованная с Управляющей компанией.</w:t>
      </w:r>
    </w:p>
    <w:p w14:paraId="27B68C55"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Справедливой стоимостью обязательств по выплате налога на доходы физических лиц признается сумма налога, исчисленная лицом, осуществляющим ведение реестра инвестиционных паев и согласованная с Управляющей компанией.</w:t>
      </w:r>
    </w:p>
    <w:p w14:paraId="213272DF"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Справедливой стоимостью обязательств по передаче денежных средств в паевой инвестиционный фонд, на инвестиционные паи которого осуществляется обмен, признается сумма денежных средств, рассчитанная лицом, осуществляющим ведение реестра.</w:t>
      </w:r>
    </w:p>
    <w:p w14:paraId="276D8E42"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Справедливой стоимостью обязательств по возмещению за счет имущества, составляющего Фонд, собственных денежных средств Управляющей компании Фонда, использованных ею для обмена или выплаты денежной компенсации в связи с погашением инвестиционных паев, признается сумма денежных средств, полученная от Управляющей компании.</w:t>
      </w:r>
    </w:p>
    <w:p w14:paraId="30F74B20" w14:textId="5EF857F4"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Справедливой стоимостью обязательств, подлежащих исполнению за счет активов Фонда, в том числе обязательств по выплате вознаграждения Управляющей компании, специализированному депозитарию, аудитору, лицу, осуществляющему ведение реестра владельцев инвестиционных паев Фонда, обязательств по уплате сумм скидок с расчетной стоимости инвестиционного пая (надбавок к расчетной стоимости инвестиционного пая) Управляющей компании Фонда и (или) агентам по выдаче, погашению и обмену инвестиционных паев, а также обязательств по оплате прочих расходов, осуществляемых за счет имущества Фонда в соответствии с требованиями действующего законодательства, признается стоимость вознаграждения (услуг, скидки, надбавки), рассчитанная исходя из условий договоров (Правил доверительного управления имуществом Фонда) и указанная в первичных учетных документах (актах оказанных услуг, выставленных счетах, иных документах, подтверждающих факт оказания услуг).</w:t>
      </w:r>
    </w:p>
    <w:p w14:paraId="1A09D99A"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Справедливая стоимость признается равной 0 (Ноль):</w:t>
      </w:r>
    </w:p>
    <w:p w14:paraId="06EDADA9" w14:textId="77777777" w:rsidR="000C1E0E" w:rsidRDefault="000C1E0E" w:rsidP="000C1E0E">
      <w:pPr>
        <w:widowControl w:val="0"/>
        <w:spacing w:before="60" w:after="60" w:line="240" w:lineRule="auto"/>
        <w:ind w:left="709"/>
        <w:outlineLvl w:val="1"/>
        <w:rPr>
          <w:rFonts w:ascii="Times New Roman" w:hAnsi="Times New Roman"/>
          <w:b/>
          <w:sz w:val="24"/>
          <w:szCs w:val="24"/>
        </w:rPr>
      </w:pPr>
      <w:r>
        <w:rPr>
          <w:rFonts w:ascii="Times New Roman" w:hAnsi="Times New Roman"/>
          <w:sz w:val="24"/>
          <w:szCs w:val="24"/>
        </w:rPr>
        <w:t>- по всем выпускам долговых ценных бумаг с даты полного погашения номинала в соответствии с условиями выпуска ценных бумаг.</w:t>
      </w:r>
    </w:p>
    <w:p w14:paraId="444CB631" w14:textId="345B2DF5" w:rsidR="004D61AC" w:rsidRDefault="004D61AC" w:rsidP="004D61AC">
      <w:pPr>
        <w:widowControl w:val="0"/>
        <w:spacing w:before="60" w:after="60" w:line="240" w:lineRule="auto"/>
        <w:ind w:left="709"/>
        <w:outlineLvl w:val="1"/>
        <w:rPr>
          <w:sz w:val="20"/>
        </w:rPr>
      </w:pPr>
      <w:r>
        <w:rPr>
          <w:sz w:val="20"/>
        </w:rPr>
        <w:t xml:space="preserve">   </w:t>
      </w:r>
      <w:r w:rsidRPr="004D61AC">
        <w:rPr>
          <w:rFonts w:ascii="Times New Roman" w:hAnsi="Times New Roman"/>
          <w:sz w:val="24"/>
          <w:szCs w:val="24"/>
        </w:rPr>
        <w:t>- в случае возбуждении процедуры банкротства в отношении эмитента (лица, обязанного по ценной бумаге), контрагента, дебитора – с даты официального сообщения о банкротстве:</w:t>
      </w:r>
      <w:r>
        <w:rPr>
          <w:b/>
          <w:bCs/>
          <w:sz w:val="20"/>
        </w:rPr>
        <w:t xml:space="preserve"> </w:t>
      </w:r>
    </w:p>
    <w:p w14:paraId="4DF642C0" w14:textId="0C242285" w:rsidR="004D61AC" w:rsidRPr="004D61AC" w:rsidRDefault="004D61AC" w:rsidP="004D61AC">
      <w:pPr>
        <w:pStyle w:val="Default"/>
        <w:numPr>
          <w:ilvl w:val="0"/>
          <w:numId w:val="9"/>
        </w:numPr>
        <w:jc w:val="both"/>
        <w:rPr>
          <w:bCs/>
        </w:rPr>
      </w:pPr>
      <w:r w:rsidRPr="004D61AC">
        <w:rPr>
          <w:bCs/>
        </w:rPr>
        <w:t>для долевых ценных бумаг и депозитарных расписок эмитента, находящегося в состоянии банкротства, за исключением случаев наличия публичных котировок этих бумаг либо отчета оценщика на дату после начала процесса банкротства и не ранее 6 мес. до момента расчета СЧА;</w:t>
      </w:r>
    </w:p>
    <w:p w14:paraId="756A46E9" w14:textId="67BC28C9" w:rsidR="004D61AC" w:rsidRPr="004D61AC" w:rsidRDefault="004D61AC" w:rsidP="004D61AC">
      <w:pPr>
        <w:pStyle w:val="Default"/>
        <w:numPr>
          <w:ilvl w:val="0"/>
          <w:numId w:val="9"/>
        </w:numPr>
        <w:jc w:val="both"/>
      </w:pPr>
      <w:r w:rsidRPr="004D61AC">
        <w:t>Для требований на выплату объявленных дивидендов</w:t>
      </w:r>
      <w:r>
        <w:t>.</w:t>
      </w:r>
    </w:p>
    <w:p w14:paraId="16B73C87" w14:textId="3D3D2200" w:rsidR="000C1E0E" w:rsidRDefault="000C1E0E" w:rsidP="000C1E0E">
      <w:pPr>
        <w:widowControl w:val="0"/>
        <w:spacing w:before="60" w:after="60" w:line="240" w:lineRule="auto"/>
        <w:ind w:left="709"/>
        <w:outlineLvl w:val="1"/>
        <w:rPr>
          <w:rFonts w:ascii="Times New Roman" w:hAnsi="Times New Roman"/>
          <w:sz w:val="24"/>
          <w:szCs w:val="24"/>
        </w:rPr>
      </w:pPr>
      <w:r>
        <w:rPr>
          <w:rFonts w:ascii="Times New Roman" w:hAnsi="Times New Roman"/>
          <w:sz w:val="24"/>
          <w:szCs w:val="24"/>
        </w:rPr>
        <w:t>- в случае события, приводящего к признанию драгоценного металла непригодным для дальнейшего использования по целевому назначению, - с даты получения официального документа о таком факте.</w:t>
      </w:r>
    </w:p>
    <w:p w14:paraId="0E99B859" w14:textId="77777777" w:rsidR="000C1E0E" w:rsidRDefault="000C1E0E" w:rsidP="000C1E0E">
      <w:pPr>
        <w:widowControl w:val="0"/>
        <w:spacing w:before="60" w:after="60" w:line="240" w:lineRule="auto"/>
        <w:ind w:left="709"/>
        <w:outlineLvl w:val="1"/>
        <w:rPr>
          <w:rFonts w:ascii="Times New Roman" w:hAnsi="Times New Roman"/>
          <w:sz w:val="24"/>
          <w:szCs w:val="24"/>
        </w:rPr>
      </w:pPr>
      <w:r>
        <w:rPr>
          <w:rFonts w:ascii="Times New Roman" w:hAnsi="Times New Roman"/>
          <w:sz w:val="24"/>
          <w:szCs w:val="24"/>
        </w:rPr>
        <w:t xml:space="preserve">В иных случаях возникновения признаков обесценения ценные бумаги оцениваются в соответствии с Методикой оценки кредитного риска контрагента (Приложение №2 к настоящим Правилам СЧА). </w:t>
      </w:r>
    </w:p>
    <w:p w14:paraId="3A41F5BD"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Порядок конвертации величин стоимостей, выраженных в одной валюте, в другую валюту</w:t>
      </w:r>
    </w:p>
    <w:p w14:paraId="0F7D3179" w14:textId="77777777" w:rsidR="000C1E0E" w:rsidRDefault="000C1E0E" w:rsidP="000C1E0E">
      <w:pPr>
        <w:widowControl w:val="0"/>
        <w:spacing w:before="60" w:after="60" w:line="240" w:lineRule="auto"/>
        <w:ind w:left="709"/>
        <w:outlineLvl w:val="1"/>
        <w:rPr>
          <w:rFonts w:ascii="Times New Roman" w:hAnsi="Times New Roman"/>
          <w:sz w:val="24"/>
          <w:szCs w:val="24"/>
        </w:rPr>
      </w:pPr>
      <w:r>
        <w:rPr>
          <w:rFonts w:ascii="Times New Roman" w:hAnsi="Times New Roman"/>
          <w:sz w:val="24"/>
          <w:szCs w:val="24"/>
        </w:rPr>
        <w:t>Выраженные в иностранной валюте активы фонда, а также обязательства, подлежащие исполнению за счет указанных активов, принимаются в расчет стоимости чистых активов в рублях по курсу, определенному в порядке следующего приоритета:</w:t>
      </w:r>
    </w:p>
    <w:p w14:paraId="50DFB251" w14:textId="77777777" w:rsidR="000C1E0E" w:rsidRDefault="000C1E0E" w:rsidP="000C1E0E">
      <w:pPr>
        <w:pStyle w:val="afc"/>
        <w:widowControl w:val="0"/>
        <w:numPr>
          <w:ilvl w:val="0"/>
          <w:numId w:val="10"/>
        </w:numPr>
        <w:spacing w:before="60" w:after="60" w:line="240" w:lineRule="auto"/>
        <w:jc w:val="both"/>
        <w:outlineLvl w:val="1"/>
        <w:rPr>
          <w:rFonts w:ascii="Times New Roman" w:hAnsi="Times New Roman"/>
          <w:sz w:val="24"/>
          <w:szCs w:val="24"/>
        </w:rPr>
      </w:pPr>
      <w:r>
        <w:rPr>
          <w:rFonts w:ascii="Times New Roman" w:hAnsi="Times New Roman"/>
          <w:sz w:val="24"/>
          <w:szCs w:val="24"/>
        </w:rPr>
        <w:t xml:space="preserve">По биржевому курсу закрытия (TOM) ПАО Московская Биржа на дату определения стоимость чистых активов Фонда (далее дата – Т). </w:t>
      </w:r>
    </w:p>
    <w:p w14:paraId="30C8B295" w14:textId="35519720" w:rsidR="000C1E0E" w:rsidRDefault="000C1E0E" w:rsidP="000C1E0E">
      <w:pPr>
        <w:pStyle w:val="afc"/>
        <w:widowControl w:val="0"/>
        <w:numPr>
          <w:ilvl w:val="0"/>
          <w:numId w:val="10"/>
        </w:numPr>
        <w:spacing w:before="60" w:after="60" w:line="240" w:lineRule="auto"/>
        <w:jc w:val="both"/>
        <w:outlineLvl w:val="1"/>
        <w:rPr>
          <w:rFonts w:ascii="Times New Roman" w:hAnsi="Times New Roman"/>
          <w:sz w:val="24"/>
          <w:szCs w:val="24"/>
        </w:rPr>
      </w:pPr>
      <w:r>
        <w:rPr>
          <w:rFonts w:ascii="Times New Roman" w:hAnsi="Times New Roman"/>
          <w:sz w:val="24"/>
          <w:szCs w:val="24"/>
        </w:rPr>
        <w:t>Если биржевой курс закрытия (TOM) ПАО Московская Биржа на дату Т отсутствует, то для расчетов используется официальный курс Банка России, установленный на дату Т.</w:t>
      </w:r>
    </w:p>
    <w:p w14:paraId="1E77B9D9" w14:textId="40B21949" w:rsidR="000C1E0E" w:rsidRDefault="000C1E0E" w:rsidP="000C1E0E">
      <w:pPr>
        <w:pStyle w:val="afc"/>
        <w:widowControl w:val="0"/>
        <w:numPr>
          <w:ilvl w:val="0"/>
          <w:numId w:val="10"/>
        </w:numPr>
        <w:spacing w:before="60" w:after="60" w:line="240" w:lineRule="auto"/>
        <w:jc w:val="both"/>
        <w:outlineLvl w:val="1"/>
        <w:rPr>
          <w:rFonts w:ascii="Times New Roman" w:hAnsi="Times New Roman"/>
          <w:sz w:val="24"/>
          <w:szCs w:val="24"/>
        </w:rPr>
      </w:pPr>
      <w:r>
        <w:rPr>
          <w:rFonts w:ascii="Times New Roman" w:hAnsi="Times New Roman"/>
          <w:sz w:val="24"/>
          <w:szCs w:val="24"/>
        </w:rPr>
        <w:t>В случае отсутствия официального курса иностранной валюты, установленного Банком России, используется курс иностранной валюты, представленный в информационной системе</w:t>
      </w:r>
      <w:r w:rsidR="00F91C71">
        <w:rPr>
          <w:rFonts w:ascii="Times New Roman" w:hAnsi="Times New Roman"/>
          <w:sz w:val="24"/>
          <w:szCs w:val="24"/>
        </w:rPr>
        <w:t xml:space="preserve"> Bloomberg (курс Bloomberg BGN)</w:t>
      </w:r>
      <w:r>
        <w:rPr>
          <w:rFonts w:ascii="Times New Roman" w:hAnsi="Times New Roman"/>
          <w:sz w:val="24"/>
          <w:szCs w:val="24"/>
        </w:rPr>
        <w:t> на дату T.</w:t>
      </w:r>
    </w:p>
    <w:p w14:paraId="72218AC0" w14:textId="77777777" w:rsidR="000C1E0E" w:rsidRDefault="000C1E0E" w:rsidP="000C1E0E">
      <w:pPr>
        <w:pStyle w:val="afc"/>
        <w:widowControl w:val="0"/>
        <w:numPr>
          <w:ilvl w:val="0"/>
          <w:numId w:val="10"/>
        </w:numPr>
        <w:spacing w:before="60" w:after="60" w:line="240" w:lineRule="auto"/>
        <w:jc w:val="both"/>
        <w:outlineLvl w:val="1"/>
        <w:rPr>
          <w:rFonts w:ascii="Times New Roman" w:hAnsi="Times New Roman"/>
          <w:sz w:val="24"/>
          <w:szCs w:val="24"/>
        </w:rPr>
      </w:pPr>
      <w:r>
        <w:rPr>
          <w:rFonts w:ascii="Times New Roman" w:hAnsi="Times New Roman"/>
          <w:sz w:val="24"/>
          <w:szCs w:val="24"/>
        </w:rPr>
        <w:t xml:space="preserve">В случае отсутствия информации по указанным выше пунктам, в качестве курса иностранной валюты используется кросс-курс валют к рублю, определенный на основе значений курсов валют к доллару США или евро (в случае отсутствия данных по кросс-курсу валюты к доллару США), предоставленных информационным агентством Bloomberg, и официального курса доллара США или евро к рублю, установленного Банком России: </w:t>
      </w:r>
    </w:p>
    <w:p w14:paraId="0BD4EE8D" w14:textId="77777777" w:rsidR="000C1E0E" w:rsidRDefault="000C1E0E" w:rsidP="000C1E0E">
      <w:pPr>
        <w:ind w:left="1134"/>
        <w:rPr>
          <w:rFonts w:ascii="Times New Roman" w:hAnsi="Times New Roman"/>
          <w:sz w:val="24"/>
          <w:szCs w:val="24"/>
        </w:rPr>
      </w:pPr>
      <w:r>
        <w:rPr>
          <w:rFonts w:ascii="Times New Roman" w:hAnsi="Times New Roman"/>
          <w:sz w:val="24"/>
          <w:szCs w:val="24"/>
        </w:rPr>
        <w:t xml:space="preserve">RateRUB = RateBase * RateRUB/Base, где </w:t>
      </w:r>
    </w:p>
    <w:p w14:paraId="02D04203" w14:textId="77777777" w:rsidR="000C1E0E" w:rsidRDefault="000C1E0E" w:rsidP="000C1E0E">
      <w:pPr>
        <w:ind w:left="1134"/>
        <w:rPr>
          <w:rFonts w:ascii="Times New Roman" w:hAnsi="Times New Roman"/>
          <w:sz w:val="24"/>
          <w:szCs w:val="24"/>
        </w:rPr>
      </w:pPr>
      <w:r>
        <w:rPr>
          <w:rFonts w:ascii="Times New Roman" w:hAnsi="Times New Roman"/>
          <w:sz w:val="24"/>
          <w:szCs w:val="24"/>
        </w:rPr>
        <w:t xml:space="preserve">RateRUB–количество рублей за единицу валюты, </w:t>
      </w:r>
    </w:p>
    <w:p w14:paraId="0A8115B4" w14:textId="77777777" w:rsidR="000C1E0E" w:rsidRDefault="000C1E0E" w:rsidP="000C1E0E">
      <w:pPr>
        <w:ind w:left="1134"/>
        <w:rPr>
          <w:rFonts w:ascii="Times New Roman" w:hAnsi="Times New Roman"/>
          <w:sz w:val="24"/>
          <w:szCs w:val="24"/>
        </w:rPr>
      </w:pPr>
      <w:r>
        <w:rPr>
          <w:rFonts w:ascii="Times New Roman" w:hAnsi="Times New Roman"/>
          <w:sz w:val="24"/>
          <w:szCs w:val="24"/>
        </w:rPr>
        <w:t xml:space="preserve">RateBase –количество единиц базовой валюты за единицу валюты, </w:t>
      </w:r>
    </w:p>
    <w:p w14:paraId="152A5F1B" w14:textId="77777777" w:rsidR="000C1E0E" w:rsidRDefault="000C1E0E" w:rsidP="000C1E0E">
      <w:pPr>
        <w:ind w:left="1134"/>
        <w:rPr>
          <w:rFonts w:ascii="Times New Roman" w:hAnsi="Times New Roman"/>
          <w:sz w:val="24"/>
          <w:szCs w:val="24"/>
        </w:rPr>
      </w:pPr>
      <w:r>
        <w:rPr>
          <w:rFonts w:ascii="Times New Roman" w:hAnsi="Times New Roman"/>
          <w:sz w:val="24"/>
          <w:szCs w:val="24"/>
        </w:rPr>
        <w:t xml:space="preserve">RateRUB/Base –количество рублей за единицу базовой валюты, </w:t>
      </w:r>
    </w:p>
    <w:p w14:paraId="158F4892" w14:textId="77777777" w:rsidR="000C1E0E" w:rsidRDefault="000C1E0E" w:rsidP="000C1E0E">
      <w:pPr>
        <w:ind w:left="1134"/>
        <w:rPr>
          <w:rFonts w:ascii="Times New Roman" w:hAnsi="Times New Roman"/>
          <w:sz w:val="24"/>
          <w:szCs w:val="24"/>
        </w:rPr>
      </w:pPr>
      <w:r>
        <w:rPr>
          <w:rFonts w:ascii="Times New Roman" w:hAnsi="Times New Roman"/>
          <w:sz w:val="24"/>
          <w:szCs w:val="24"/>
        </w:rPr>
        <w:t>Base – доллар США или евро.</w:t>
      </w:r>
    </w:p>
    <w:p w14:paraId="34DFD55B" w14:textId="77777777" w:rsidR="000C1E0E" w:rsidRDefault="000C1E0E" w:rsidP="000C1E0E">
      <w:pPr>
        <w:widowControl w:val="0"/>
        <w:numPr>
          <w:ilvl w:val="1"/>
          <w:numId w:val="4"/>
        </w:numPr>
        <w:spacing w:before="60" w:after="60" w:line="240" w:lineRule="auto"/>
        <w:ind w:left="709"/>
        <w:outlineLvl w:val="1"/>
        <w:rPr>
          <w:rFonts w:ascii="Times New Roman" w:hAnsi="Times New Roman"/>
          <w:b/>
          <w:sz w:val="24"/>
          <w:szCs w:val="24"/>
        </w:rPr>
      </w:pPr>
      <w:r>
        <w:rPr>
          <w:rFonts w:ascii="Times New Roman" w:hAnsi="Times New Roman"/>
          <w:b/>
          <w:sz w:val="24"/>
          <w:szCs w:val="24"/>
        </w:rPr>
        <w:t xml:space="preserve"> Перечень активов, подлежащих оценке оценщиком, и периодичность проведения такой оценки</w:t>
      </w:r>
    </w:p>
    <w:p w14:paraId="0A08CAC2" w14:textId="77777777" w:rsidR="000C1E0E" w:rsidRDefault="000C1E0E" w:rsidP="000C1E0E">
      <w:pPr>
        <w:widowControl w:val="0"/>
        <w:numPr>
          <w:ilvl w:val="2"/>
          <w:numId w:val="4"/>
        </w:numPr>
        <w:spacing w:before="60" w:after="60" w:line="240" w:lineRule="auto"/>
        <w:ind w:left="709"/>
        <w:outlineLvl w:val="1"/>
        <w:rPr>
          <w:rFonts w:ascii="Times New Roman" w:hAnsi="Times New Roman"/>
          <w:sz w:val="24"/>
          <w:szCs w:val="24"/>
        </w:rPr>
      </w:pPr>
      <w:r>
        <w:rPr>
          <w:rFonts w:ascii="Times New Roman" w:hAnsi="Times New Roman"/>
          <w:sz w:val="24"/>
          <w:szCs w:val="24"/>
        </w:rPr>
        <w:t>Ценные бумаги и финансовые инструменты, по которым невозможно определить справедливую цену в порядке, предусмотренном п. 3.10 настоящих Правил, подлежат оценке оценщиком.</w:t>
      </w:r>
    </w:p>
    <w:p w14:paraId="0E572346" w14:textId="57EEFF70" w:rsidR="000C1E0E" w:rsidRDefault="000C1E0E" w:rsidP="000C1E0E">
      <w:pPr>
        <w:widowControl w:val="0"/>
        <w:numPr>
          <w:ilvl w:val="2"/>
          <w:numId w:val="4"/>
        </w:numPr>
        <w:spacing w:before="60" w:after="60" w:line="240" w:lineRule="auto"/>
        <w:ind w:left="709"/>
        <w:outlineLvl w:val="1"/>
        <w:rPr>
          <w:rFonts w:ascii="Times New Roman" w:hAnsi="Times New Roman"/>
          <w:sz w:val="24"/>
          <w:szCs w:val="24"/>
        </w:rPr>
      </w:pPr>
      <w:r>
        <w:rPr>
          <w:rFonts w:ascii="Times New Roman" w:hAnsi="Times New Roman"/>
          <w:sz w:val="24"/>
          <w:szCs w:val="24"/>
        </w:rPr>
        <w:t>При этом периодичность проведения такой оценки составляет не менее одного раза в 6 месяцев.</w:t>
      </w:r>
    </w:p>
    <w:p w14:paraId="3FF0E565"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Порядок расчета резерва на выплату вознаграждения</w:t>
      </w:r>
    </w:p>
    <w:p w14:paraId="179D354A"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Резерв на выплату вознаграждения формируется отдельно в части резерва на выплату вознаграждения Управляющей компании и в части резерва на выплату совокупного вознаграждения специализированному депозитарию, аудиторской организации, Фонда, и лицу, осуществляющему ведение реестра владельцев инвестиционных паев ПИФ (далее – резерв на выплату прочих вознаграждений).</w:t>
      </w:r>
    </w:p>
    <w:p w14:paraId="05120EBC"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Резерв на выплату вознаграждений начисляется и отражается в составе обязательств Фонда в течение отчетного года: с наиболее поздней из двух дат – даты начала календарного года или даты завершения (окончания) формирования - до:</w:t>
      </w:r>
    </w:p>
    <w:p w14:paraId="20CBF447" w14:textId="77777777" w:rsidR="000C1E0E" w:rsidRDefault="000C1E0E" w:rsidP="00F91C71">
      <w:pPr>
        <w:pStyle w:val="12"/>
        <w:tabs>
          <w:tab w:val="left" w:pos="993"/>
        </w:tabs>
        <w:spacing w:line="276" w:lineRule="auto"/>
        <w:jc w:val="both"/>
        <w:rPr>
          <w:szCs w:val="24"/>
        </w:rPr>
      </w:pPr>
      <w:r>
        <w:rPr>
          <w:szCs w:val="24"/>
        </w:rPr>
        <w:tab/>
        <w:t xml:space="preserve">- даты окончания календарного года; </w:t>
      </w:r>
    </w:p>
    <w:p w14:paraId="4B670130" w14:textId="77777777" w:rsidR="000C1E0E" w:rsidRDefault="000C1E0E" w:rsidP="00F91C71">
      <w:pPr>
        <w:pStyle w:val="12"/>
        <w:tabs>
          <w:tab w:val="left" w:pos="993"/>
        </w:tabs>
        <w:spacing w:line="276" w:lineRule="auto"/>
        <w:ind w:left="709"/>
        <w:jc w:val="both"/>
        <w:rPr>
          <w:szCs w:val="24"/>
        </w:rPr>
      </w:pPr>
      <w:r>
        <w:rPr>
          <w:szCs w:val="24"/>
        </w:rPr>
        <w:tab/>
        <w:t>- даты возникновения основания для прекращения Фонда (включительно) в части резерва на выплату вознаграждения Управляющей компании;</w:t>
      </w:r>
    </w:p>
    <w:p w14:paraId="49A56D85" w14:textId="77777777" w:rsidR="000C1E0E" w:rsidRDefault="000C1E0E" w:rsidP="00F91C71">
      <w:pPr>
        <w:pStyle w:val="12"/>
        <w:tabs>
          <w:tab w:val="left" w:pos="993"/>
        </w:tabs>
        <w:spacing w:line="276" w:lineRule="auto"/>
        <w:ind w:left="709"/>
        <w:jc w:val="both"/>
        <w:rPr>
          <w:szCs w:val="24"/>
        </w:rPr>
      </w:pPr>
      <w:r>
        <w:rPr>
          <w:szCs w:val="24"/>
        </w:rPr>
        <w:tab/>
        <w:t>- наиболее поздней из двух дат при прекращении - даты окончания приема требований кредиторов Фонда или даты окончания реализации всего имущества Фонда.</w:t>
      </w:r>
    </w:p>
    <w:p w14:paraId="6A677469" w14:textId="77777777" w:rsidR="000C1E0E" w:rsidRDefault="000C1E0E" w:rsidP="000C1E0E">
      <w:pPr>
        <w:widowControl w:val="0"/>
        <w:numPr>
          <w:ilvl w:val="2"/>
          <w:numId w:val="4"/>
        </w:numPr>
        <w:spacing w:before="60" w:after="60" w:line="240" w:lineRule="auto"/>
        <w:outlineLvl w:val="1"/>
        <w:rPr>
          <w:szCs w:val="24"/>
        </w:rPr>
      </w:pPr>
      <w:r>
        <w:rPr>
          <w:rFonts w:ascii="Times New Roman" w:hAnsi="Times New Roman"/>
          <w:sz w:val="24"/>
          <w:szCs w:val="24"/>
        </w:rPr>
        <w:t>Резерв на выплату вознаграждений, определенный исходя из размера вознаграждения, предусмотренного правилами ДУ ПИФ, в течение отчетного года начисляется нарастающим итогом и отражается в составе обязательств ПИФ на каждую дату определения СЧА, предусмотренную Правилами определения стоимости чистых активов.</w:t>
      </w:r>
    </w:p>
    <w:p w14:paraId="1DE9CBF8" w14:textId="77777777" w:rsidR="000C1E0E" w:rsidRDefault="000C1E0E" w:rsidP="000C1E0E">
      <w:pPr>
        <w:widowControl w:val="0"/>
        <w:numPr>
          <w:ilvl w:val="2"/>
          <w:numId w:val="4"/>
        </w:numPr>
        <w:spacing w:before="60" w:after="60" w:line="240" w:lineRule="auto"/>
        <w:outlineLvl w:val="1"/>
        <w:rPr>
          <w:szCs w:val="24"/>
        </w:rPr>
      </w:pPr>
      <w:r>
        <w:rPr>
          <w:rFonts w:ascii="Times New Roman" w:hAnsi="Times New Roman"/>
          <w:sz w:val="24"/>
          <w:szCs w:val="24"/>
        </w:rPr>
        <w:t xml:space="preserve">Резерв на выплату вознаграждения </w:t>
      </w:r>
      <w:r>
        <w:rPr>
          <w:szCs w:val="24"/>
        </w:rPr>
        <w:t>Управляющ</w:t>
      </w:r>
      <w:r>
        <w:rPr>
          <w:rFonts w:ascii="Times New Roman" w:hAnsi="Times New Roman"/>
          <w:sz w:val="24"/>
          <w:szCs w:val="24"/>
        </w:rPr>
        <w:t>ей компании и резерв на выплату прочих вознаграждений, в случае, если размер таких вознаграждений определяется исходя из среднегодовой СЧА (далее – СГСЧА), рассчитываются отдельно по каждой части резерва в следующем порядке:</w:t>
      </w:r>
    </w:p>
    <w:p w14:paraId="2D42AB2F" w14:textId="77777777" w:rsidR="000C1E0E" w:rsidRDefault="000C1E0E" w:rsidP="000C1E0E">
      <w:pPr>
        <w:pStyle w:val="12"/>
        <w:tabs>
          <w:tab w:val="left" w:pos="993"/>
        </w:tabs>
        <w:spacing w:line="360" w:lineRule="auto"/>
        <w:ind w:left="709"/>
        <w:jc w:val="both"/>
        <w:rPr>
          <w:rFonts w:eastAsia="Batang"/>
          <w:szCs w:val="24"/>
        </w:rPr>
      </w:pPr>
      <w:r>
        <w:rPr>
          <w:rFonts w:eastAsia="Batang"/>
          <w:szCs w:val="24"/>
        </w:rPr>
        <w:t>на первый рабочий день отчетного года:</w:t>
      </w:r>
    </w:p>
    <w:p w14:paraId="71ADE57D" w14:textId="77777777" w:rsidR="000C1E0E" w:rsidRDefault="000C1E0E" w:rsidP="000C1E0E">
      <w:pPr>
        <w:pStyle w:val="12"/>
        <w:tabs>
          <w:tab w:val="left" w:pos="993"/>
        </w:tabs>
        <w:spacing w:line="360" w:lineRule="auto"/>
        <w:ind w:left="709"/>
        <w:jc w:val="both"/>
        <w:rPr>
          <w:rFonts w:eastAsia="Batang"/>
          <w:szCs w:val="24"/>
        </w:rPr>
      </w:pPr>
      <w:r>
        <w:rPr>
          <w:rFonts w:eastAsia="Batang"/>
          <w:szCs w:val="24"/>
        </w:rPr>
        <w:object w:dxaOrig="1725" w:dyaOrig="645" w14:anchorId="713C5D87">
          <v:shape id="_x0000_i1028" type="#_x0000_t75" style="width:86.25pt;height:32.65pt" o:ole="">
            <v:imagedata r:id="rId28" o:title=""/>
          </v:shape>
          <o:OLEObject Type="Embed" ProgID="Equation.3" ShapeID="_x0000_i1028" DrawAspect="Content" ObjectID="_1685873729" r:id="rId29"/>
        </w:object>
      </w:r>
    </w:p>
    <w:p w14:paraId="3749EE30"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 xml:space="preserve">где:    </w:t>
      </w:r>
    </w:p>
    <w:p w14:paraId="2A4371FE"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165" w:dyaOrig="315" w14:anchorId="33DCF9AE">
          <v:shape id="_x0000_i1029" type="#_x0000_t75" style="width:8.35pt;height:15.9pt" o:ole="">
            <v:imagedata r:id="rId30" o:title=""/>
          </v:shape>
          <o:OLEObject Type="Embed" ProgID="Equation.3" ShapeID="_x0000_i1029" DrawAspect="Content" ObjectID="_1685873730" r:id="rId31"/>
        </w:object>
      </w:r>
      <w:r>
        <w:rPr>
          <w:rFonts w:eastAsia="Batang"/>
          <w:szCs w:val="24"/>
        </w:rPr>
        <w:t>- сумма начисления резерва на первый рабочий день отчетного года;</w:t>
      </w:r>
    </w:p>
    <w:p w14:paraId="7878ECD8"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55" w:dyaOrig="255" w14:anchorId="3F6368CB">
          <v:shape id="_x0000_i1030" type="#_x0000_t75" style="width:12.55pt;height:12.55pt" o:ole="">
            <v:imagedata r:id="rId32" o:title=""/>
          </v:shape>
          <o:OLEObject Type="Embed" ProgID="Equation.3" ShapeID="_x0000_i1030" DrawAspect="Content" ObjectID="_1685873731" r:id="rId33"/>
        </w:object>
      </w:r>
      <w:r>
        <w:rPr>
          <w:rFonts w:eastAsia="Batang"/>
          <w:szCs w:val="24"/>
        </w:rPr>
        <w:t xml:space="preserve"> - количество рабочих дней в текущем календарном году;</w:t>
      </w:r>
    </w:p>
    <w:p w14:paraId="522316ED"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855" w:dyaOrig="375" w14:anchorId="63B812C1">
          <v:shape id="_x0000_i1031" type="#_x0000_t75" style="width:42.7pt;height:18.4pt" o:ole="">
            <v:imagedata r:id="rId34" o:title=""/>
          </v:shape>
          <o:OLEObject Type="Embed" ProgID="Equation.3" ShapeID="_x0000_i1031" DrawAspect="Content" ObjectID="_1685873732" r:id="rId35"/>
        </w:object>
      </w:r>
      <w:r>
        <w:rPr>
          <w:rFonts w:eastAsia="Batang"/>
          <w:szCs w:val="24"/>
        </w:rPr>
        <w:t xml:space="preserve">- расчетная (промежуточная) величина СЧА на первый рабочий день отчетного года, в который начисляется резерв </w:t>
      </w:r>
      <w:r>
        <w:rPr>
          <w:rFonts w:eastAsia="Batang"/>
          <w:szCs w:val="24"/>
        </w:rPr>
        <w:object w:dxaOrig="255" w:dyaOrig="375" w14:anchorId="27B45C3E">
          <v:shape id="_x0000_i1032" type="#_x0000_t75" style="width:12.55pt;height:18.4pt" o:ole="">
            <v:imagedata r:id="rId36" o:title=""/>
          </v:shape>
          <o:OLEObject Type="Embed" ProgID="Equation.3" ShapeID="_x0000_i1032" DrawAspect="Content" ObjectID="_1685873733" r:id="rId37"/>
        </w:object>
      </w:r>
      <w:r>
        <w:rPr>
          <w:rFonts w:eastAsia="Batang"/>
          <w:szCs w:val="24"/>
        </w:rPr>
        <w:t>, определенная с точностью до 2 – х знаков после запятой по формуле:</w:t>
      </w:r>
    </w:p>
    <w:p w14:paraId="273350B3"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685" w:dyaOrig="975" w14:anchorId="4D43801A">
          <v:shape id="_x0000_i1033" type="#_x0000_t75" style="width:133.95pt;height:48.55pt" o:ole="">
            <v:imagedata r:id="rId38" o:title=""/>
          </v:shape>
          <o:OLEObject Type="Embed" ProgID="Equation.3" ShapeID="_x0000_i1033" DrawAspect="Content" ObjectID="_1685873734" r:id="rId39"/>
        </w:object>
      </w:r>
    </w:p>
    <w:p w14:paraId="76ABAB41"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975" w:dyaOrig="345" w14:anchorId="31964D86">
          <v:shape id="_x0000_i1034" type="#_x0000_t75" style="width:48.55pt;height:17.6pt" o:ole="">
            <v:imagedata r:id="rId40" o:title=""/>
          </v:shape>
          <o:OLEObject Type="Embed" ProgID="Equation.3" ShapeID="_x0000_i1034" DrawAspect="Content" ObjectID="_1685873735" r:id="rId41"/>
        </w:object>
      </w:r>
      <w:r>
        <w:rPr>
          <w:rFonts w:eastAsia="Batang"/>
          <w:szCs w:val="24"/>
        </w:rPr>
        <w:t xml:space="preserve">- расчетная величина активов, включая дебиторскую задолженность на первый рабочий день отчетного года. Дебиторскую задолженность на первый рабочий день отчетного года необходимо учитывать до начисления вознаграждений и резерва на выплату вознаграждения за первый рабочий день отчетного года. В случае оплаты в первый рабочий день отчетного года Управляющей компанией из ПИФ вознаграждений, начисленных в первый рабочий день отчетного года, необходимо при определении расчетной величины активов на первый рабочий день отчетного года увеличить сумму активов на сумму уплаченных вознаграждений в первый рабочий день отчетного года. </w:t>
      </w:r>
    </w:p>
    <w:p w14:paraId="32D5E0B7"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465" w:dyaOrig="345" w14:anchorId="6E28CC9E">
          <v:shape id="_x0000_i1035" type="#_x0000_t75" style="width:23.45pt;height:17.6pt" o:ole="">
            <v:imagedata r:id="rId42" o:title=""/>
          </v:shape>
          <o:OLEObject Type="Embed" ProgID="Equation.3" ShapeID="_x0000_i1035" DrawAspect="Content" ObjectID="_1685873736" r:id="rId43"/>
        </w:object>
      </w:r>
      <w:r>
        <w:rPr>
          <w:rFonts w:eastAsia="Batang"/>
          <w:szCs w:val="24"/>
        </w:rPr>
        <w:t xml:space="preserve"> - величина кредиторской задолженности без учета начисленных вознаграждений на первый рабочий день отчетного года.</w:t>
      </w:r>
    </w:p>
    <w:p w14:paraId="521A88F2"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165" w:dyaOrig="165" w14:anchorId="2E3EB96B">
          <v:shape id="_x0000_i1036" type="#_x0000_t75" style="width:8.35pt;height:8.35pt" o:ole="">
            <v:imagedata r:id="rId44" o:title=""/>
          </v:shape>
          <o:OLEObject Type="Embed" ProgID="Equation.3" ShapeID="_x0000_i1036" DrawAspect="Content" ObjectID="_1685873737" r:id="rId45"/>
        </w:object>
      </w:r>
      <w:r>
        <w:rPr>
          <w:rFonts w:eastAsia="Batang"/>
          <w:szCs w:val="24"/>
        </w:rPr>
        <w:t>- процентная ставка, соответствующая:</w:t>
      </w:r>
    </w:p>
    <w:p w14:paraId="5F049C28"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525" w:dyaOrig="435" w14:anchorId="375C06A1">
          <v:shape id="_x0000_i1037" type="#_x0000_t75" style="width:25.95pt;height:21.75pt" o:ole="">
            <v:imagedata r:id="rId46" o:title=""/>
          </v:shape>
          <o:OLEObject Type="Embed" ProgID="Equation.3" ShapeID="_x0000_i1037" DrawAspect="Content" ObjectID="_1685873738" r:id="rId47"/>
        </w:object>
      </w:r>
      <w:r>
        <w:rPr>
          <w:rFonts w:eastAsia="Batang"/>
          <w:szCs w:val="24"/>
        </w:rPr>
        <w:t xml:space="preserve"> - размер вознаграждения Управляющей компании относительно СГСЧА, установленный правилами ДУ ПИФ (в долях), действующий на первый рабочий день отчетного года;</w:t>
      </w:r>
    </w:p>
    <w:p w14:paraId="4EE7881E"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495" w:dyaOrig="465" w14:anchorId="60771046">
          <v:shape id="_x0000_i1038" type="#_x0000_t75" style="width:25.1pt;height:23.45pt" o:ole="">
            <v:imagedata r:id="rId48" o:title=""/>
          </v:shape>
          <o:OLEObject Type="Embed" ProgID="Equation.3" ShapeID="_x0000_i1038" DrawAspect="Content" ObjectID="_1685873739" r:id="rId49"/>
        </w:object>
      </w:r>
      <w:r>
        <w:rPr>
          <w:rFonts w:eastAsia="Batang"/>
          <w:szCs w:val="24"/>
        </w:rPr>
        <w:t xml:space="preserve"> - совокупный размер вознаграждений специализированному депозитарию, аудиторской организации, и лицу, осуществляющему ведение реестра владельцев инвестиционных паев ПИФ, относительно СГСЧА, установленный правилами ДУ (в долях), действующий на первый рабочий день отчетного года;</w:t>
      </w:r>
    </w:p>
    <w:p w14:paraId="235DBBB8"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55" w:dyaOrig="375" w14:anchorId="52B839B3">
          <v:shape id="_x0000_i1039" type="#_x0000_t75" style="width:12.55pt;height:18.4pt" o:ole="">
            <v:imagedata r:id="rId50" o:title=""/>
          </v:shape>
          <o:OLEObject Type="Embed" ProgID="Equation.3" ShapeID="_x0000_i1039" DrawAspect="Content" ObjectID="_1685873740" r:id="rId51"/>
        </w:object>
      </w:r>
      <w:r>
        <w:rPr>
          <w:rFonts w:eastAsia="Batang"/>
          <w:szCs w:val="24"/>
        </w:rPr>
        <w:t>- каждая процентная ставка, действовавшая на первый рабочий день отчетного года</w:t>
      </w:r>
    </w:p>
    <w:p w14:paraId="5DF74CFF"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 xml:space="preserve">Значение  </w:t>
      </w:r>
      <w:r>
        <w:rPr>
          <w:rFonts w:eastAsia="Batang"/>
          <w:szCs w:val="24"/>
        </w:rPr>
        <w:fldChar w:fldCharType="begin"/>
      </w:r>
      <w:r>
        <w:rPr>
          <w:rFonts w:eastAsia="Batang"/>
          <w:szCs w:val="24"/>
        </w:rPr>
        <w:instrText xml:space="preserve"> QUOTE </w:instrText>
      </w:r>
      <w:r>
        <w:rPr>
          <w:rFonts w:eastAsia="Batang"/>
          <w:noProof/>
          <w:position w:val="-48"/>
          <w:szCs w:val="24"/>
        </w:rPr>
        <w:drawing>
          <wp:inline distT="0" distB="0" distL="0" distR="0" wp14:anchorId="20B6D56F" wp14:editId="2126D8AB">
            <wp:extent cx="1190625" cy="7334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90625" cy="733425"/>
                    </a:xfrm>
                    <a:prstGeom prst="rect">
                      <a:avLst/>
                    </a:prstGeom>
                    <a:noFill/>
                    <a:ln>
                      <a:noFill/>
                    </a:ln>
                  </pic:spPr>
                </pic:pic>
              </a:graphicData>
            </a:graphic>
          </wp:inline>
        </w:drawing>
      </w:r>
      <w:r>
        <w:rPr>
          <w:rFonts w:eastAsia="Batang"/>
          <w:szCs w:val="24"/>
        </w:rPr>
        <w:instrText xml:space="preserve"> </w:instrText>
      </w:r>
      <w:r>
        <w:rPr>
          <w:rFonts w:eastAsia="Batang"/>
          <w:szCs w:val="24"/>
        </w:rPr>
        <w:fldChar w:fldCharType="separate"/>
      </w:r>
      <w:r>
        <w:rPr>
          <w:rFonts w:eastAsia="Batang"/>
          <w:noProof/>
          <w:position w:val="-48"/>
          <w:szCs w:val="24"/>
        </w:rPr>
        <w:drawing>
          <wp:inline distT="0" distB="0" distL="0" distR="0" wp14:anchorId="6A52EDB0" wp14:editId="0A75636A">
            <wp:extent cx="1190625" cy="7334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90625" cy="733425"/>
                    </a:xfrm>
                    <a:prstGeom prst="rect">
                      <a:avLst/>
                    </a:prstGeom>
                    <a:noFill/>
                    <a:ln>
                      <a:noFill/>
                    </a:ln>
                  </pic:spPr>
                </pic:pic>
              </a:graphicData>
            </a:graphic>
          </wp:inline>
        </w:drawing>
      </w:r>
      <w:r>
        <w:rPr>
          <w:rFonts w:eastAsia="Batang"/>
          <w:szCs w:val="24"/>
        </w:rPr>
        <w:fldChar w:fldCharType="end"/>
      </w:r>
      <w:r>
        <w:rPr>
          <w:rFonts w:eastAsia="Batang"/>
          <w:szCs w:val="24"/>
        </w:rPr>
        <w:t xml:space="preserve">   не округляется.</w:t>
      </w:r>
    </w:p>
    <w:p w14:paraId="7351B397"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 xml:space="preserve">Округление при расчете </w:t>
      </w:r>
      <w:r>
        <w:rPr>
          <w:rFonts w:eastAsia="Batang"/>
          <w:szCs w:val="24"/>
        </w:rPr>
        <w:object w:dxaOrig="255" w:dyaOrig="375" w14:anchorId="008A73EE">
          <v:shape id="_x0000_i1040" type="#_x0000_t75" style="width:12.55pt;height:18.4pt" o:ole="">
            <v:imagedata r:id="rId53" o:title=""/>
          </v:shape>
          <o:OLEObject Type="Embed" ProgID="Equation.3" ShapeID="_x0000_i1040" DrawAspect="Content" ObjectID="_1685873741" r:id="rId54"/>
        </w:object>
      </w:r>
      <w:r>
        <w:rPr>
          <w:rFonts w:eastAsia="Batang"/>
          <w:szCs w:val="24"/>
        </w:rPr>
        <w:t xml:space="preserve"> и </w:t>
      </w:r>
      <w:r>
        <w:rPr>
          <w:rFonts w:eastAsia="Batang"/>
          <w:szCs w:val="24"/>
        </w:rPr>
        <w:object w:dxaOrig="855" w:dyaOrig="375" w14:anchorId="5A8E1427">
          <v:shape id="_x0000_i1041" type="#_x0000_t75" style="width:42.7pt;height:18.4pt" o:ole="">
            <v:imagedata r:id="rId55" o:title=""/>
          </v:shape>
          <o:OLEObject Type="Embed" ProgID="Equation.3" ShapeID="_x0000_i1041" DrawAspect="Content" ObjectID="_1685873742" r:id="rId56"/>
        </w:object>
      </w:r>
      <w:r>
        <w:rPr>
          <w:rFonts w:eastAsia="Batang"/>
          <w:szCs w:val="24"/>
        </w:rPr>
        <w:t>производится на каждом действии до 2-х знаков после запятой.</w:t>
      </w:r>
    </w:p>
    <w:p w14:paraId="2063A9B5" w14:textId="77777777" w:rsidR="000C1E0E" w:rsidRDefault="000C1E0E" w:rsidP="000C1E0E">
      <w:pPr>
        <w:pStyle w:val="12"/>
        <w:tabs>
          <w:tab w:val="left" w:pos="993"/>
        </w:tabs>
        <w:spacing w:line="360" w:lineRule="auto"/>
        <w:ind w:left="0"/>
        <w:jc w:val="both"/>
        <w:rPr>
          <w:rFonts w:eastAsia="Batang"/>
          <w:szCs w:val="24"/>
        </w:rPr>
      </w:pPr>
    </w:p>
    <w:p w14:paraId="2A72565A"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на другие дни определения СЧА (за исключением первого рабочего дня отчетного года):</w:t>
      </w:r>
    </w:p>
    <w:p w14:paraId="7F678D1D"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4455" w:dyaOrig="1005" w14:anchorId="17A7F9D5">
          <v:shape id="_x0000_i1042" type="#_x0000_t75" style="width:222.7pt;height:50.25pt" o:ole="">
            <v:imagedata r:id="rId57" o:title=""/>
          </v:shape>
          <o:OLEObject Type="Embed" ProgID="Equation.3" ShapeID="_x0000_i1042" DrawAspect="Content" ObjectID="_1685873743" r:id="rId58"/>
        </w:object>
      </w:r>
    </w:p>
    <w:p w14:paraId="429D8A3F"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где:</w:t>
      </w:r>
    </w:p>
    <w:p w14:paraId="30CD5E57"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k – порядковый номер каждого начисления резерва в отчетном году, принимающий значения от 1 до i. k=i – порядковый номер последнего (текущего) начисления резерва;</w:t>
      </w:r>
    </w:p>
    <w:p w14:paraId="51A90612"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85" w:dyaOrig="375" w14:anchorId="22282145">
          <v:shape id="_x0000_i1043" type="#_x0000_t75" style="width:14.25pt;height:18.4pt" o:ole="">
            <v:imagedata r:id="rId59" o:title=""/>
          </v:shape>
          <o:OLEObject Type="Embed" ProgID="Equation.3" ShapeID="_x0000_i1043" DrawAspect="Content" ObjectID="_1685873744" r:id="rId60"/>
        </w:object>
      </w:r>
      <w:r>
        <w:rPr>
          <w:rFonts w:eastAsia="Batang"/>
          <w:szCs w:val="24"/>
        </w:rPr>
        <w:t xml:space="preserve">- сумма каждого произведенного в текущем отчетном году начисления резерва;     </w:t>
      </w:r>
    </w:p>
    <w:p w14:paraId="5C5AD1E7"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55" w:dyaOrig="360" w14:anchorId="78911314">
          <v:shape id="_x0000_i1044" type="#_x0000_t75" style="width:12.55pt;height:18.4pt" o:ole="">
            <v:imagedata r:id="rId61" o:title=""/>
          </v:shape>
          <o:OLEObject Type="Embed" ProgID="Equation.3" ShapeID="_x0000_i1044" DrawAspect="Content" ObjectID="_1685873745" r:id="rId62"/>
        </w:object>
      </w:r>
      <w:r>
        <w:rPr>
          <w:rFonts w:eastAsia="Batang"/>
          <w:szCs w:val="24"/>
        </w:rPr>
        <w:t>- сумма очередного (текущего) начисления резерва в текущем отчетном году;</w:t>
      </w:r>
    </w:p>
    <w:p w14:paraId="2333844E"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40" w:dyaOrig="240" w14:anchorId="7095DD40">
          <v:shape id="_x0000_i1045" type="#_x0000_t75" style="width:11.7pt;height:11.7pt" o:ole="">
            <v:imagedata r:id="rId32" o:title=""/>
          </v:shape>
          <o:OLEObject Type="Embed" ProgID="Equation.3" ShapeID="_x0000_i1045" DrawAspect="Content" ObjectID="_1685873746" r:id="rId63"/>
        </w:object>
      </w:r>
      <w:r>
        <w:rPr>
          <w:rFonts w:eastAsia="Batang"/>
          <w:szCs w:val="24"/>
        </w:rPr>
        <w:t xml:space="preserve"> - количество рабочих дней в текущем календарном году;</w:t>
      </w:r>
    </w:p>
    <w:p w14:paraId="0A6761B5"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40" w:dyaOrig="360" w14:anchorId="4055CB2C">
          <v:shape id="_x0000_i1046" type="#_x0000_t75" style="width:11.7pt;height:18.4pt" o:ole="">
            <v:imagedata r:id="rId64" o:title=""/>
          </v:shape>
          <o:OLEObject Type="Embed" ProgID="Equation.3" ShapeID="_x0000_i1046" DrawAspect="Content" ObjectID="_1685873747" r:id="rId65"/>
        </w:object>
      </w:r>
      <w:r>
        <w:rPr>
          <w:rFonts w:eastAsia="Batang"/>
          <w:szCs w:val="24"/>
        </w:rPr>
        <w:t xml:space="preserve">- количество рабочих дней периода, определенного с начала текущего отчетного года до (включая) даты начисления резерва </w:t>
      </w:r>
      <w:r>
        <w:rPr>
          <w:rFonts w:eastAsia="Batang"/>
          <w:szCs w:val="24"/>
        </w:rPr>
        <w:object w:dxaOrig="240" w:dyaOrig="360" w14:anchorId="3660389E">
          <v:shape id="_x0000_i1047" type="#_x0000_t75" style="width:11.7pt;height:18.4pt" o:ole="">
            <v:imagedata r:id="rId61" o:title=""/>
          </v:shape>
          <o:OLEObject Type="Embed" ProgID="Equation.3" ShapeID="_x0000_i1047" DrawAspect="Content" ObjectID="_1685873748" r:id="rId66"/>
        </w:object>
      </w:r>
      <w:r>
        <w:rPr>
          <w:rFonts w:eastAsia="Batang"/>
          <w:szCs w:val="24"/>
        </w:rPr>
        <w:t xml:space="preserve">; </w:t>
      </w:r>
    </w:p>
    <w:p w14:paraId="3B1C072A"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 xml:space="preserve">t – порядковый номер рабочего дня, принадлежащего периоду, за который определено  </w:t>
      </w:r>
      <w:r>
        <w:rPr>
          <w:rFonts w:eastAsia="Batang"/>
          <w:szCs w:val="24"/>
        </w:rPr>
        <w:object w:dxaOrig="240" w:dyaOrig="360" w14:anchorId="2468D2E0">
          <v:shape id="_x0000_i1048" type="#_x0000_t75" style="width:11.7pt;height:18.4pt" o:ole="">
            <v:imagedata r:id="rId64" o:title=""/>
          </v:shape>
          <o:OLEObject Type="Embed" ProgID="Equation.3" ShapeID="_x0000_i1048" DrawAspect="Content" ObjectID="_1685873749" r:id="rId67"/>
        </w:object>
      </w:r>
      <w:r>
        <w:rPr>
          <w:rFonts w:eastAsia="Batang"/>
          <w:szCs w:val="24"/>
        </w:rPr>
        <w:t xml:space="preserve">, принимающий значения от 1 до d. t=d – порядковый номер рабочего дня начисления резерва </w:t>
      </w:r>
      <w:r>
        <w:rPr>
          <w:rFonts w:eastAsia="Batang"/>
          <w:szCs w:val="24"/>
        </w:rPr>
        <w:object w:dxaOrig="240" w:dyaOrig="360" w14:anchorId="646EAE2B">
          <v:shape id="_x0000_i1049" type="#_x0000_t75" style="width:11.7pt;height:18.4pt" o:ole="">
            <v:imagedata r:id="rId61" o:title=""/>
          </v:shape>
          <o:OLEObject Type="Embed" ProgID="Equation.3" ShapeID="_x0000_i1049" DrawAspect="Content" ObjectID="_1685873750" r:id="rId68"/>
        </w:object>
      </w:r>
      <w:r>
        <w:rPr>
          <w:rFonts w:eastAsia="Batang"/>
          <w:szCs w:val="24"/>
        </w:rPr>
        <w:t>;</w:t>
      </w:r>
    </w:p>
    <w:p w14:paraId="3D4BA8C1" w14:textId="4BE5105A"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600" w:dyaOrig="360" w14:anchorId="051C9CD0">
          <v:shape id="_x0000_i1050" type="#_x0000_t75" style="width:30.15pt;height:18.4pt" o:ole="">
            <v:imagedata r:id="rId69" o:title=""/>
          </v:shape>
          <o:OLEObject Type="Embed" ProgID="Equation.3" ShapeID="_x0000_i1050" DrawAspect="Content" ObjectID="_1685873751" r:id="rId70"/>
        </w:object>
      </w:r>
      <w:r>
        <w:rPr>
          <w:rFonts w:eastAsia="Batang"/>
          <w:szCs w:val="24"/>
        </w:rPr>
        <w:t>- стоимость чистых активов по состоянию на конец каждого рабочего дня t, за исключением</w:t>
      </w:r>
      <w:r w:rsidR="00F91C71">
        <w:rPr>
          <w:rFonts w:eastAsia="Batang"/>
          <w:szCs w:val="24"/>
        </w:rPr>
        <w:t xml:space="preserve"> дня d. Если на рабочий день t </w:t>
      </w:r>
      <w:r>
        <w:rPr>
          <w:rFonts w:eastAsia="Batang"/>
          <w:szCs w:val="24"/>
        </w:rPr>
        <w:t>СЧА не определена, она принимается равной СЧА за предшествующий дню t рабочий день текущего отчетного года.</w:t>
      </w:r>
    </w:p>
    <w:p w14:paraId="1A95CD6E"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855" w:dyaOrig="345" w14:anchorId="35B88E56">
          <v:shape id="_x0000_i1051" type="#_x0000_t75" style="width:42.7pt;height:17.6pt" o:ole="">
            <v:imagedata r:id="rId71" o:title=""/>
          </v:shape>
          <o:OLEObject Type="Embed" ProgID="Equation.3" ShapeID="_x0000_i1051" DrawAspect="Content" ObjectID="_1685873752" r:id="rId72"/>
        </w:object>
      </w:r>
      <w:r>
        <w:rPr>
          <w:rFonts w:eastAsia="Batang"/>
          <w:szCs w:val="24"/>
        </w:rPr>
        <w:t xml:space="preserve">- расчетная (промежуточная) величина СЧА на дату d, в которой начисляется резерв </w:t>
      </w:r>
      <w:r>
        <w:rPr>
          <w:rFonts w:eastAsia="Batang"/>
          <w:szCs w:val="24"/>
        </w:rPr>
        <w:object w:dxaOrig="240" w:dyaOrig="360" w14:anchorId="04394A9E">
          <v:shape id="_x0000_i1052" type="#_x0000_t75" style="width:11.7pt;height:18.4pt" o:ole="">
            <v:imagedata r:id="rId61" o:title=""/>
          </v:shape>
          <o:OLEObject Type="Embed" ProgID="Equation.3" ShapeID="_x0000_i1052" DrawAspect="Content" ObjectID="_1685873753" r:id="rId73"/>
        </w:object>
      </w:r>
      <w:r>
        <w:rPr>
          <w:rFonts w:eastAsia="Batang"/>
          <w:szCs w:val="24"/>
        </w:rPr>
        <w:t>, определенная с точностью до 2-х знаков после запятой по формуле:</w:t>
      </w:r>
    </w:p>
    <w:p w14:paraId="7FF6BC37" w14:textId="77777777" w:rsidR="000C1E0E" w:rsidRDefault="000C1E0E" w:rsidP="000C1E0E">
      <w:pPr>
        <w:pStyle w:val="12"/>
        <w:tabs>
          <w:tab w:val="left" w:pos="993"/>
        </w:tabs>
        <w:spacing w:line="360" w:lineRule="auto"/>
        <w:ind w:left="0"/>
        <w:jc w:val="both"/>
        <w:rPr>
          <w:rFonts w:eastAsia="Batang"/>
          <w:szCs w:val="24"/>
        </w:rPr>
      </w:pPr>
    </w:p>
    <w:p w14:paraId="379F8038"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7620" w:dyaOrig="2625" w14:anchorId="24F04CEB">
          <v:shape id="_x0000_i1053" type="#_x0000_t75" style="width:381.75pt;height:131.45pt" o:ole="">
            <v:imagedata r:id="rId74" o:title=""/>
          </v:shape>
          <o:OLEObject Type="Embed" ProgID="Equation.3" ShapeID="_x0000_i1053" DrawAspect="Content" ObjectID="_1685873754" r:id="rId75"/>
        </w:object>
      </w:r>
      <w:r>
        <w:rPr>
          <w:rFonts w:eastAsia="Batang"/>
          <w:szCs w:val="24"/>
        </w:rPr>
        <w:t>;</w:t>
      </w:r>
    </w:p>
    <w:p w14:paraId="7D06AFF1"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1005" w:dyaOrig="360" w14:anchorId="31C38BB8">
          <v:shape id="_x0000_i1054" type="#_x0000_t75" style="width:50.25pt;height:18.4pt" o:ole="">
            <v:imagedata r:id="rId76" o:title=""/>
          </v:shape>
          <o:OLEObject Type="Embed" ProgID="Equation.3" ShapeID="_x0000_i1054" DrawAspect="Content" ObjectID="_1685873755" r:id="rId77"/>
        </w:object>
      </w:r>
      <w:r>
        <w:rPr>
          <w:rFonts w:eastAsia="Batang"/>
          <w:szCs w:val="24"/>
        </w:rPr>
        <w:t xml:space="preserve">- расчетная величина активов, включая дебиторскую задолженность на дату d. Дебиторскую задолженность на дату d необходимо учитывать до начисления вознаграждений и резерва на выплату вознаграждения за дату d. В случае оплаты в дату d Управляющей компанией из ПИФ вознаграждений, начисленных в дату d, необходимо при определении расчетной величины активов на дату d увеличить сумму активов на сумму уплаченных вознаграждений в дату d. </w:t>
      </w:r>
    </w:p>
    <w:p w14:paraId="0498BB52"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495" w:dyaOrig="360" w14:anchorId="35D3DC19">
          <v:shape id="_x0000_i1055" type="#_x0000_t75" style="width:25.1pt;height:18.4pt" o:ole="">
            <v:imagedata r:id="rId78" o:title=""/>
          </v:shape>
          <o:OLEObject Type="Embed" ProgID="Equation.3" ShapeID="_x0000_i1055" DrawAspect="Content" ObjectID="_1685873756" r:id="rId79"/>
        </w:object>
      </w:r>
      <w:r>
        <w:rPr>
          <w:rFonts w:eastAsia="Batang"/>
          <w:szCs w:val="24"/>
        </w:rPr>
        <w:t xml:space="preserve"> - величина кредиторской задолженности без учета начисленных вознаграждений на дату d, включая остаток резерва на выплату вознаграждения на дату d-1, где d-1 –рабочий день, предшествующий дате d. </w:t>
      </w:r>
    </w:p>
    <w:p w14:paraId="7256FB8C"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600" w:dyaOrig="645" w14:anchorId="1BAF8526">
          <v:shape id="_x0000_i1056" type="#_x0000_t75" style="width:30.15pt;height:32.65pt" o:ole="">
            <v:imagedata r:id="rId80" o:title=""/>
          </v:shape>
          <o:OLEObject Type="Embed" ProgID="Equation.3" ShapeID="_x0000_i1056" DrawAspect="Content" ObjectID="_1685873757" r:id="rId81"/>
        </w:object>
      </w:r>
      <w:r>
        <w:rPr>
          <w:rFonts w:eastAsia="Batang"/>
          <w:szCs w:val="24"/>
        </w:rPr>
        <w:t>- общая сумма резервов на выплату вознаграждения, начисленных с начала года до даты d.</w:t>
      </w:r>
    </w:p>
    <w:p w14:paraId="0DFD23FF"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165" w:dyaOrig="165" w14:anchorId="3793C305">
          <v:shape id="_x0000_i1057" type="#_x0000_t75" style="width:8.35pt;height:8.35pt" o:ole="">
            <v:imagedata r:id="rId44" o:title=""/>
          </v:shape>
          <o:OLEObject Type="Embed" ProgID="Equation.3" ShapeID="_x0000_i1057" DrawAspect="Content" ObjectID="_1685873758" r:id="rId82"/>
        </w:object>
      </w:r>
      <w:r>
        <w:rPr>
          <w:rFonts w:eastAsia="Batang"/>
          <w:szCs w:val="24"/>
        </w:rPr>
        <w:t>- процентная ставка, соответствующая:</w:t>
      </w:r>
    </w:p>
    <w:p w14:paraId="435AA3F6"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495" w:dyaOrig="435" w14:anchorId="3AAD63D8">
          <v:shape id="_x0000_i1058" type="#_x0000_t75" style="width:25.1pt;height:21.75pt" o:ole="">
            <v:imagedata r:id="rId46" o:title=""/>
          </v:shape>
          <o:OLEObject Type="Embed" ProgID="Equation.3" ShapeID="_x0000_i1058" DrawAspect="Content" ObjectID="_1685873759" r:id="rId83"/>
        </w:object>
      </w:r>
      <w:r>
        <w:rPr>
          <w:rFonts w:eastAsia="Batang"/>
          <w:szCs w:val="24"/>
        </w:rPr>
        <w:t xml:space="preserve"> - размер вознаграждения Управляющей компании относительно СГСЧА, установленный правилами ДУ ПИФ (в долях), действующий в течение периода </w:t>
      </w:r>
      <w:r>
        <w:rPr>
          <w:rFonts w:eastAsia="Batang"/>
          <w:szCs w:val="24"/>
        </w:rPr>
        <w:object w:dxaOrig="240" w:dyaOrig="360" w14:anchorId="28DC24D2">
          <v:shape id="_x0000_i1059" type="#_x0000_t75" style="width:11.7pt;height:18.4pt" o:ole="">
            <v:imagedata r:id="rId64" o:title=""/>
          </v:shape>
          <o:OLEObject Type="Embed" ProgID="Equation.3" ShapeID="_x0000_i1059" DrawAspect="Content" ObjectID="_1685873760" r:id="rId84"/>
        </w:object>
      </w:r>
      <w:r>
        <w:rPr>
          <w:rFonts w:eastAsia="Batang"/>
          <w:szCs w:val="24"/>
        </w:rPr>
        <w:t>;</w:t>
      </w:r>
    </w:p>
    <w:p w14:paraId="0750E24C"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495" w:dyaOrig="465" w14:anchorId="207D4D7B">
          <v:shape id="_x0000_i1060" type="#_x0000_t75" style="width:25.1pt;height:23.45pt" o:ole="">
            <v:imagedata r:id="rId48" o:title=""/>
          </v:shape>
          <o:OLEObject Type="Embed" ProgID="Equation.3" ShapeID="_x0000_i1060" DrawAspect="Content" ObjectID="_1685873761" r:id="rId85"/>
        </w:object>
      </w:r>
      <w:r>
        <w:rPr>
          <w:rFonts w:eastAsia="Batang"/>
          <w:szCs w:val="24"/>
        </w:rPr>
        <w:t xml:space="preserve"> - совокупный размер вознаграждений специализированному депозитарию, аудиторской организации, и лицу, осуществляющему ведение реестра владельцев инвестиционных паев ПИФ, относительно СГСЧА, установленный правилами ДУ ПИФ (в долях), действующий в течение периода </w:t>
      </w:r>
      <w:r>
        <w:rPr>
          <w:rFonts w:eastAsia="Batang"/>
          <w:szCs w:val="24"/>
        </w:rPr>
        <w:object w:dxaOrig="240" w:dyaOrig="360" w14:anchorId="02121C36">
          <v:shape id="_x0000_i1061" type="#_x0000_t75" style="width:11.7pt;height:18.4pt" o:ole="">
            <v:imagedata r:id="rId64" o:title=""/>
          </v:shape>
          <o:OLEObject Type="Embed" ProgID="Equation.3" ShapeID="_x0000_i1061" DrawAspect="Content" ObjectID="_1685873762" r:id="rId86"/>
        </w:object>
      </w:r>
      <w:r>
        <w:rPr>
          <w:rFonts w:eastAsia="Batang"/>
          <w:szCs w:val="24"/>
        </w:rPr>
        <w:t>;</w:t>
      </w:r>
    </w:p>
    <w:p w14:paraId="45062D7D"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N – количество ставок, действовавших в отчетному году;</w:t>
      </w:r>
    </w:p>
    <w:p w14:paraId="190BF0E0"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40" w:dyaOrig="360" w14:anchorId="0BD103C2">
          <v:shape id="_x0000_i1062" type="#_x0000_t75" style="width:11.7pt;height:18.4pt" o:ole="">
            <v:imagedata r:id="rId50" o:title=""/>
          </v:shape>
          <o:OLEObject Type="Embed" ProgID="Equation.3" ShapeID="_x0000_i1062" DrawAspect="Content" ObjectID="_1685873763" r:id="rId87"/>
        </w:object>
      </w:r>
      <w:r>
        <w:rPr>
          <w:rFonts w:eastAsia="Batang"/>
          <w:szCs w:val="24"/>
        </w:rPr>
        <w:t xml:space="preserve">- каждая процентная ставка, действовавшая в течение периода </w:t>
      </w:r>
      <w:r>
        <w:rPr>
          <w:rFonts w:eastAsia="Batang"/>
          <w:szCs w:val="24"/>
        </w:rPr>
        <w:object w:dxaOrig="240" w:dyaOrig="360" w14:anchorId="6C89EF89">
          <v:shape id="_x0000_i1063" type="#_x0000_t75" style="width:11.7pt;height:18.4pt" o:ole="">
            <v:imagedata r:id="rId64" o:title=""/>
          </v:shape>
          <o:OLEObject Type="Embed" ProgID="Equation.3" ShapeID="_x0000_i1063" DrawAspect="Content" ObjectID="_1685873764" r:id="rId88"/>
        </w:object>
      </w:r>
      <w:r>
        <w:rPr>
          <w:rFonts w:eastAsia="Batang"/>
          <w:szCs w:val="24"/>
        </w:rPr>
        <w:t>;</w:t>
      </w:r>
    </w:p>
    <w:p w14:paraId="7A247A64"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315" w:dyaOrig="360" w14:anchorId="02B7453D">
          <v:shape id="_x0000_i1064" type="#_x0000_t75" style="width:15.9pt;height:18.4pt" o:ole="">
            <v:imagedata r:id="rId89" o:title=""/>
          </v:shape>
          <o:OLEObject Type="Embed" ProgID="Equation.3" ShapeID="_x0000_i1064" DrawAspect="Content" ObjectID="_1685873765" r:id="rId90"/>
        </w:object>
      </w:r>
      <w:r>
        <w:rPr>
          <w:rFonts w:eastAsia="Batang"/>
          <w:szCs w:val="24"/>
        </w:rPr>
        <w:t xml:space="preserve">- количество рабочих дней периода, в котором действовала ставка </w:t>
      </w:r>
      <w:r>
        <w:rPr>
          <w:rFonts w:eastAsia="Batang"/>
          <w:szCs w:val="24"/>
        </w:rPr>
        <w:object w:dxaOrig="240" w:dyaOrig="360" w14:anchorId="4BE7DDB2">
          <v:shape id="_x0000_i1065" type="#_x0000_t75" style="width:11.7pt;height:18.4pt" o:ole="">
            <v:imagedata r:id="rId50" o:title=""/>
          </v:shape>
          <o:OLEObject Type="Embed" ProgID="Equation.3" ShapeID="_x0000_i1065" DrawAspect="Content" ObjectID="_1685873766" r:id="rId91"/>
        </w:object>
      </w:r>
      <w:r>
        <w:rPr>
          <w:rFonts w:eastAsia="Batang"/>
          <w:szCs w:val="24"/>
        </w:rPr>
        <w:t xml:space="preserve">, принадлежащее периоду </w:t>
      </w:r>
      <w:r>
        <w:rPr>
          <w:rFonts w:eastAsia="Batang"/>
          <w:szCs w:val="24"/>
        </w:rPr>
        <w:object w:dxaOrig="240" w:dyaOrig="360" w14:anchorId="1930D9C6">
          <v:shape id="_x0000_i1066" type="#_x0000_t75" style="width:11.7pt;height:18.4pt" o:ole="">
            <v:imagedata r:id="rId64" o:title=""/>
          </v:shape>
          <o:OLEObject Type="Embed" ProgID="Equation.3" ShapeID="_x0000_i1066" DrawAspect="Content" ObjectID="_1685873767" r:id="rId92"/>
        </w:object>
      </w:r>
      <w:r>
        <w:rPr>
          <w:rFonts w:eastAsia="Batang"/>
          <w:szCs w:val="24"/>
        </w:rPr>
        <w:t xml:space="preserve">, где </w:t>
      </w:r>
      <w:r>
        <w:rPr>
          <w:rFonts w:eastAsia="Batang"/>
          <w:szCs w:val="24"/>
        </w:rPr>
        <w:object w:dxaOrig="1005" w:dyaOrig="645" w14:anchorId="021F3ED3">
          <v:shape id="_x0000_i1067" type="#_x0000_t75" style="width:50.25pt;height:32.65pt" o:ole="">
            <v:imagedata r:id="rId93" o:title=""/>
          </v:shape>
          <o:OLEObject Type="Embed" ProgID="Equation.3" ShapeID="_x0000_i1067" DrawAspect="Content" ObjectID="_1685873768" r:id="rId94"/>
        </w:object>
      </w:r>
      <w:r>
        <w:rPr>
          <w:rFonts w:eastAsia="Batang"/>
          <w:szCs w:val="24"/>
        </w:rPr>
        <w:t>.</w:t>
      </w:r>
    </w:p>
    <w:p w14:paraId="6478574C"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 xml:space="preserve">Значения </w:t>
      </w:r>
      <w:r>
        <w:rPr>
          <w:rFonts w:eastAsia="Batang"/>
          <w:szCs w:val="24"/>
        </w:rPr>
        <w:fldChar w:fldCharType="begin"/>
      </w:r>
      <w:r>
        <w:rPr>
          <w:rFonts w:eastAsia="Batang"/>
          <w:szCs w:val="24"/>
        </w:rPr>
        <w:instrText xml:space="preserve"> QUOTE </w:instrText>
      </w:r>
      <w:r>
        <w:rPr>
          <w:rFonts w:eastAsia="Batang"/>
          <w:noProof/>
          <w:position w:val="-17"/>
          <w:szCs w:val="24"/>
        </w:rPr>
        <w:drawing>
          <wp:inline distT="0" distB="0" distL="0" distR="0" wp14:anchorId="54739141" wp14:editId="709849D8">
            <wp:extent cx="609600" cy="3143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9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314325"/>
                    </a:xfrm>
                    <a:prstGeom prst="rect">
                      <a:avLst/>
                    </a:prstGeom>
                    <a:noFill/>
                    <a:ln>
                      <a:noFill/>
                    </a:ln>
                  </pic:spPr>
                </pic:pic>
              </a:graphicData>
            </a:graphic>
          </wp:inline>
        </w:drawing>
      </w:r>
      <w:r>
        <w:rPr>
          <w:rFonts w:eastAsia="Batang"/>
          <w:szCs w:val="24"/>
        </w:rPr>
        <w:instrText xml:space="preserve"> </w:instrText>
      </w:r>
      <w:r>
        <w:rPr>
          <w:rFonts w:eastAsia="Batang"/>
          <w:szCs w:val="24"/>
        </w:rPr>
        <w:fldChar w:fldCharType="separate"/>
      </w:r>
      <w:r>
        <w:rPr>
          <w:rFonts w:eastAsia="Batang"/>
          <w:noProof/>
          <w:position w:val="-17"/>
          <w:szCs w:val="24"/>
        </w:rPr>
        <w:drawing>
          <wp:inline distT="0" distB="0" distL="0" distR="0" wp14:anchorId="1D55DE81" wp14:editId="0245B815">
            <wp:extent cx="609600" cy="3143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9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314325"/>
                    </a:xfrm>
                    <a:prstGeom prst="rect">
                      <a:avLst/>
                    </a:prstGeom>
                    <a:noFill/>
                    <a:ln>
                      <a:noFill/>
                    </a:ln>
                  </pic:spPr>
                </pic:pic>
              </a:graphicData>
            </a:graphic>
          </wp:inline>
        </w:drawing>
      </w:r>
      <w:r>
        <w:rPr>
          <w:rFonts w:eastAsia="Batang"/>
          <w:szCs w:val="24"/>
        </w:rPr>
        <w:fldChar w:fldCharType="end"/>
      </w:r>
      <w:r>
        <w:rPr>
          <w:rFonts w:eastAsia="Batang"/>
          <w:szCs w:val="24"/>
        </w:rPr>
        <w:t xml:space="preserve">; </w:t>
      </w:r>
      <w:r>
        <w:rPr>
          <w:rFonts w:eastAsia="Batang"/>
          <w:szCs w:val="24"/>
        </w:rPr>
        <w:fldChar w:fldCharType="begin"/>
      </w:r>
      <w:r>
        <w:rPr>
          <w:rFonts w:eastAsia="Batang"/>
          <w:szCs w:val="24"/>
        </w:rPr>
        <w:instrText xml:space="preserve"> QUOTE </w:instrText>
      </w:r>
      <w:r>
        <w:rPr>
          <w:rFonts w:eastAsia="Batang"/>
          <w:noProof/>
          <w:position w:val="-110"/>
          <w:szCs w:val="24"/>
        </w:rPr>
        <w:drawing>
          <wp:inline distT="0" distB="0" distL="0" distR="0" wp14:anchorId="47B3C077" wp14:editId="55EB6FF8">
            <wp:extent cx="4114800" cy="15430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pic:cNvPicPr>
                      <a:picLocks noChangeAspect="1" noChangeArrowheads="1"/>
                    </pic:cNvPicPr>
                  </pic:nvPicPr>
                  <pic:blipFill>
                    <a:blip r:embed="rId9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14800" cy="1543050"/>
                    </a:xfrm>
                    <a:prstGeom prst="rect">
                      <a:avLst/>
                    </a:prstGeom>
                    <a:noFill/>
                    <a:ln>
                      <a:noFill/>
                    </a:ln>
                  </pic:spPr>
                </pic:pic>
              </a:graphicData>
            </a:graphic>
          </wp:inline>
        </w:drawing>
      </w:r>
      <w:r>
        <w:rPr>
          <w:rFonts w:eastAsia="Batang"/>
          <w:szCs w:val="24"/>
        </w:rPr>
        <w:instrText xml:space="preserve"> </w:instrText>
      </w:r>
      <w:r>
        <w:rPr>
          <w:rFonts w:eastAsia="Batang"/>
          <w:szCs w:val="24"/>
        </w:rPr>
        <w:fldChar w:fldCharType="separate"/>
      </w:r>
      <w:r>
        <w:rPr>
          <w:rFonts w:eastAsia="Batang"/>
          <w:noProof/>
          <w:position w:val="-110"/>
          <w:szCs w:val="24"/>
        </w:rPr>
        <w:drawing>
          <wp:inline distT="0" distB="0" distL="0" distR="0" wp14:anchorId="44336CA9" wp14:editId="03DC7AFF">
            <wp:extent cx="4114800" cy="1543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pic:cNvPicPr>
                      <a:picLocks noChangeAspect="1" noChangeArrowheads="1"/>
                    </pic:cNvPicPr>
                  </pic:nvPicPr>
                  <pic:blipFill>
                    <a:blip r:embed="rId9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14800" cy="1543050"/>
                    </a:xfrm>
                    <a:prstGeom prst="rect">
                      <a:avLst/>
                    </a:prstGeom>
                    <a:noFill/>
                    <a:ln>
                      <a:noFill/>
                    </a:ln>
                  </pic:spPr>
                </pic:pic>
              </a:graphicData>
            </a:graphic>
          </wp:inline>
        </w:drawing>
      </w:r>
      <w:r>
        <w:rPr>
          <w:rFonts w:eastAsia="Batang"/>
          <w:szCs w:val="24"/>
        </w:rPr>
        <w:fldChar w:fldCharType="end"/>
      </w:r>
      <w:r>
        <w:rPr>
          <w:rFonts w:eastAsia="Batang"/>
          <w:szCs w:val="24"/>
        </w:rPr>
        <w:t xml:space="preserve">               не округляются.</w:t>
      </w:r>
    </w:p>
    <w:p w14:paraId="77B9D9F2"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 xml:space="preserve">Округление при расчете </w:t>
      </w:r>
      <w:r>
        <w:rPr>
          <w:rFonts w:eastAsia="Batang"/>
          <w:szCs w:val="24"/>
        </w:rPr>
        <w:object w:dxaOrig="240" w:dyaOrig="360" w14:anchorId="03B9D97B">
          <v:shape id="_x0000_i1068" type="#_x0000_t75" style="width:11.7pt;height:18.4pt" o:ole="">
            <v:imagedata r:id="rId61" o:title=""/>
          </v:shape>
          <o:OLEObject Type="Embed" ProgID="Equation.3" ShapeID="_x0000_i1068" DrawAspect="Content" ObjectID="_1685873769" r:id="rId97"/>
        </w:object>
      </w:r>
      <w:r>
        <w:rPr>
          <w:rFonts w:eastAsia="Batang"/>
          <w:szCs w:val="24"/>
        </w:rPr>
        <w:t xml:space="preserve"> и </w:t>
      </w:r>
      <w:r>
        <w:rPr>
          <w:rFonts w:eastAsia="Batang"/>
          <w:szCs w:val="24"/>
        </w:rPr>
        <w:object w:dxaOrig="855" w:dyaOrig="345" w14:anchorId="0BD8F957">
          <v:shape id="_x0000_i1069" type="#_x0000_t75" style="width:42.7pt;height:17.6pt" o:ole="">
            <v:imagedata r:id="rId71" o:title=""/>
          </v:shape>
          <o:OLEObject Type="Embed" ProgID="Equation.3" ShapeID="_x0000_i1069" DrawAspect="Content" ObjectID="_1685873770" r:id="rId98"/>
        </w:object>
      </w:r>
      <w:r>
        <w:rPr>
          <w:rFonts w:eastAsia="Batang"/>
          <w:szCs w:val="24"/>
        </w:rPr>
        <w:t>производится на каждом действии до 2-х знаков после запятой.</w:t>
      </w:r>
    </w:p>
    <w:p w14:paraId="2FEB02DD"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Размер сформированного резерва на выплату вознаграждения уменьшается на суммы начисленного в течение отчетного года вознаграждения Управляющей компании, специализированному депозитарию, аудиторской организации, и лицу, осуществляющему ведение реестра владельцев инвестиционных паев ПИФ. Не использованный в течение отчетного года резерв на выплату вознаграждения подлежит восстановлению по окончанию отчетного года, но не позднее первого рабочего дня года, следующего за отчетным, и признается в составе прочих доходов. Указанное восстановление отражается при первом определении СЧА в году следующем за отчетным. </w:t>
      </w:r>
    </w:p>
    <w:p w14:paraId="65D9ABFA" w14:textId="77777777" w:rsidR="000C1E0E" w:rsidRDefault="000C1E0E" w:rsidP="000C1E0E">
      <w:pPr>
        <w:widowControl w:val="0"/>
        <w:numPr>
          <w:ilvl w:val="0"/>
          <w:numId w:val="11"/>
        </w:numPr>
        <w:spacing w:before="240" w:after="60" w:line="240" w:lineRule="auto"/>
        <w:outlineLvl w:val="0"/>
        <w:rPr>
          <w:rFonts w:ascii="Times New Roman" w:hAnsi="Times New Roman"/>
          <w:b/>
          <w:bCs/>
          <w:kern w:val="32"/>
          <w:sz w:val="24"/>
          <w:szCs w:val="24"/>
        </w:rPr>
      </w:pPr>
      <w:r>
        <w:rPr>
          <w:rFonts w:ascii="Times New Roman" w:hAnsi="Times New Roman"/>
          <w:b/>
          <w:bCs/>
          <w:kern w:val="32"/>
          <w:sz w:val="24"/>
          <w:szCs w:val="24"/>
        </w:rPr>
        <w:t>ПОРЯДОК УРЕГУЛИРОВАНИЯ РАЗНОГЛАСИЙ МЕЖДУ УПРАВЛЯЮЩЕЙ КОМПАНИЕЙ И СПЕЦИАЛИЗИРОВАННЫМ ДЕПОЗИТАРИЕМ ПРИ ОПРЕДЕЛЕНИИ СТОИМОСТИ ЧИСТЫХ АКТИВОВ</w:t>
      </w:r>
    </w:p>
    <w:p w14:paraId="6AA791E6" w14:textId="77777777" w:rsidR="000C1E0E" w:rsidRDefault="000C1E0E" w:rsidP="000C1E0E">
      <w:pPr>
        <w:numPr>
          <w:ilvl w:val="1"/>
          <w:numId w:val="11"/>
        </w:numPr>
        <w:tabs>
          <w:tab w:val="num" w:pos="0"/>
        </w:tabs>
        <w:spacing w:line="240" w:lineRule="auto"/>
        <w:rPr>
          <w:rFonts w:ascii="Times New Roman" w:hAnsi="Times New Roman"/>
          <w:sz w:val="24"/>
          <w:szCs w:val="24"/>
          <w:lang w:eastAsia="en-US"/>
        </w:rPr>
      </w:pPr>
      <w:r>
        <w:rPr>
          <w:rFonts w:ascii="Times New Roman" w:hAnsi="Times New Roman"/>
          <w:sz w:val="24"/>
          <w:szCs w:val="24"/>
        </w:rPr>
        <w:t>В случае выявления ошибки в расчёте стоимости чистых активов и стоимости одного инвестиционного пая Специализированный депозитарий и Управляющая компания не позднее 5 (пяти) рабочих дней с даты выявления ошибки оформляют Акт выявления ошибки в расчёте стоимости чистых активов и проводят соответствующую процедуру корректировки ошибки.</w:t>
      </w:r>
    </w:p>
    <w:p w14:paraId="39951CF7" w14:textId="77777777" w:rsidR="000C1E0E" w:rsidRDefault="000C1E0E" w:rsidP="000C1E0E">
      <w:pPr>
        <w:numPr>
          <w:ilvl w:val="1"/>
          <w:numId w:val="11"/>
        </w:numPr>
        <w:tabs>
          <w:tab w:val="num" w:pos="0"/>
        </w:tabs>
        <w:spacing w:line="240" w:lineRule="auto"/>
        <w:rPr>
          <w:rFonts w:ascii="Times New Roman" w:hAnsi="Times New Roman"/>
          <w:sz w:val="24"/>
          <w:szCs w:val="24"/>
          <w:lang w:eastAsia="en-US"/>
        </w:rPr>
      </w:pPr>
      <w:r>
        <w:rPr>
          <w:rFonts w:ascii="Times New Roman" w:hAnsi="Times New Roman"/>
          <w:sz w:val="24"/>
          <w:szCs w:val="24"/>
        </w:rPr>
        <w:t>В случае если на дату, по состоянию на которую выявлена ошибка, отклонение стоимости актива (обязательства), использованной в расчёте, составляет менее, чем 0,1% корректной стоимости чистых активов, и отклонение стоимости чистых активов на этот момент расчета составляет менее 0,1% корректной стоимости чистых активов  (далее – «отклонения»), производится проверка, не привела ли выявленная ошибка к отклонениям, составляющим 0,1% и более от корректной стоимости чистых активов, в последующих датах.</w:t>
      </w:r>
    </w:p>
    <w:p w14:paraId="2885059A" w14:textId="77777777" w:rsidR="000C1E0E" w:rsidRDefault="000C1E0E" w:rsidP="000C1E0E">
      <w:pPr>
        <w:numPr>
          <w:ilvl w:val="1"/>
          <w:numId w:val="11"/>
        </w:numPr>
        <w:tabs>
          <w:tab w:val="num" w:pos="0"/>
        </w:tabs>
        <w:spacing w:line="240" w:lineRule="auto"/>
        <w:rPr>
          <w:rFonts w:ascii="Times New Roman" w:hAnsi="Times New Roman"/>
          <w:sz w:val="24"/>
          <w:szCs w:val="24"/>
          <w:lang w:eastAsia="en-US"/>
        </w:rPr>
      </w:pPr>
      <w:r>
        <w:rPr>
          <w:rFonts w:ascii="Times New Roman" w:hAnsi="Times New Roman"/>
          <w:sz w:val="24"/>
          <w:szCs w:val="24"/>
        </w:rPr>
        <w:t xml:space="preserve">Если рассчитанные отклонения в каждую из дат составили менее 0,1%, пересчёт стоимости чистых активов и стоимости одного инвестиционного пая Фонда не производится. </w:t>
      </w:r>
    </w:p>
    <w:p w14:paraId="12349E91" w14:textId="77777777" w:rsidR="000C1E0E" w:rsidRDefault="000C1E0E" w:rsidP="000C1E0E">
      <w:pPr>
        <w:numPr>
          <w:ilvl w:val="1"/>
          <w:numId w:val="11"/>
        </w:numPr>
        <w:tabs>
          <w:tab w:val="num" w:pos="0"/>
        </w:tabs>
        <w:spacing w:line="240" w:lineRule="auto"/>
        <w:rPr>
          <w:rFonts w:ascii="Times New Roman" w:hAnsi="Times New Roman"/>
          <w:sz w:val="24"/>
          <w:szCs w:val="24"/>
          <w:lang w:eastAsia="en-US"/>
        </w:rPr>
      </w:pPr>
      <w:r>
        <w:rPr>
          <w:rFonts w:ascii="Times New Roman" w:hAnsi="Times New Roman"/>
          <w:sz w:val="24"/>
          <w:szCs w:val="24"/>
        </w:rPr>
        <w:t>Управляющая компания и Специализированный депозитарий принимают все необходимые меры для предотвращения повторения ошибки в будущем.</w:t>
      </w:r>
    </w:p>
    <w:p w14:paraId="07B3EE4E" w14:textId="77777777" w:rsidR="000C1E0E" w:rsidRDefault="000C1E0E" w:rsidP="000C1E0E">
      <w:pPr>
        <w:numPr>
          <w:ilvl w:val="1"/>
          <w:numId w:val="11"/>
        </w:numPr>
        <w:tabs>
          <w:tab w:val="num" w:pos="0"/>
        </w:tabs>
        <w:spacing w:line="240" w:lineRule="auto"/>
        <w:rPr>
          <w:rFonts w:ascii="Times New Roman" w:hAnsi="Times New Roman"/>
          <w:sz w:val="24"/>
          <w:szCs w:val="24"/>
          <w:lang w:eastAsia="en-US"/>
        </w:rPr>
      </w:pPr>
      <w:r>
        <w:rPr>
          <w:rFonts w:ascii="Times New Roman" w:hAnsi="Times New Roman"/>
          <w:sz w:val="24"/>
          <w:szCs w:val="24"/>
        </w:rPr>
        <w:t>В случае, когда в какую-либо из дат оба отклонения или одно из них составляет 0,1% и более корректной стоимости чистых активов, Управляющая компания и Специализированный депозитарий осуществляют пересчёт стоимости чистых активов и стоимости одного инвестиционного пая Фонда за весь период, начиная с даты допущения ошибки.</w:t>
      </w:r>
    </w:p>
    <w:p w14:paraId="1CC9E0B5" w14:textId="77777777" w:rsidR="000C1E0E" w:rsidRDefault="000C1E0E" w:rsidP="000C1E0E">
      <w:pPr>
        <w:numPr>
          <w:ilvl w:val="1"/>
          <w:numId w:val="11"/>
        </w:numPr>
        <w:tabs>
          <w:tab w:val="num" w:pos="0"/>
        </w:tabs>
        <w:spacing w:line="240" w:lineRule="auto"/>
        <w:rPr>
          <w:rFonts w:ascii="Times New Roman" w:hAnsi="Times New Roman"/>
          <w:sz w:val="24"/>
          <w:szCs w:val="24"/>
          <w:lang w:eastAsia="en-US"/>
        </w:rPr>
      </w:pPr>
      <w:r>
        <w:rPr>
          <w:rFonts w:ascii="Times New Roman" w:hAnsi="Times New Roman"/>
          <w:sz w:val="24"/>
          <w:szCs w:val="24"/>
        </w:rPr>
        <w:t>В случае если с момента допущения ошибки, приведшей к пересчёту стоимости чистых активов и стоимости одного инвестиционного пая Фонда, осуществлялись операции по выдаче или погашению инвестиционных паев, то Управляющая компания осуществляет расчёты с владельцами инвестиционных паев Фонда по возмещению ущерба в соответствии с требованиями законодательства Российской Федерации.</w:t>
      </w:r>
    </w:p>
    <w:p w14:paraId="07BE4657" w14:textId="77777777" w:rsidR="000C1E0E" w:rsidRDefault="000C1E0E" w:rsidP="000C1E0E">
      <w:pPr>
        <w:numPr>
          <w:ilvl w:val="1"/>
          <w:numId w:val="11"/>
        </w:numPr>
        <w:tabs>
          <w:tab w:val="num" w:pos="0"/>
        </w:tabs>
        <w:spacing w:line="240" w:lineRule="auto"/>
        <w:rPr>
          <w:rFonts w:ascii="Times New Roman" w:hAnsi="Times New Roman"/>
          <w:sz w:val="24"/>
          <w:szCs w:val="24"/>
          <w:lang w:eastAsia="en-US"/>
        </w:rPr>
      </w:pPr>
      <w:r>
        <w:rPr>
          <w:rFonts w:ascii="Times New Roman" w:hAnsi="Times New Roman"/>
          <w:sz w:val="24"/>
          <w:szCs w:val="24"/>
        </w:rPr>
        <w:t>При необходимости Управляющая компания и Специализированный депозитарий вносят исправления в регистры учета.</w:t>
      </w:r>
    </w:p>
    <w:p w14:paraId="299D2F21" w14:textId="77777777" w:rsidR="000C1E0E" w:rsidRDefault="000C1E0E" w:rsidP="000C1E0E">
      <w:pPr>
        <w:tabs>
          <w:tab w:val="num" w:pos="0"/>
        </w:tabs>
        <w:spacing w:line="240" w:lineRule="auto"/>
        <w:ind w:left="720"/>
        <w:rPr>
          <w:rFonts w:ascii="Times New Roman" w:hAnsi="Times New Roman"/>
          <w:sz w:val="24"/>
          <w:szCs w:val="24"/>
          <w:lang w:eastAsia="en-US"/>
        </w:rPr>
      </w:pPr>
    </w:p>
    <w:p w14:paraId="0E25CF52" w14:textId="77777777" w:rsidR="000C1E0E" w:rsidRDefault="000C1E0E" w:rsidP="000C1E0E">
      <w:pPr>
        <w:tabs>
          <w:tab w:val="num" w:pos="0"/>
        </w:tabs>
        <w:spacing w:line="240" w:lineRule="auto"/>
        <w:ind w:left="720"/>
        <w:rPr>
          <w:rFonts w:ascii="Times New Roman" w:hAnsi="Times New Roman"/>
          <w:sz w:val="24"/>
          <w:szCs w:val="24"/>
          <w:lang w:eastAsia="en-US"/>
        </w:rPr>
      </w:pPr>
    </w:p>
    <w:p w14:paraId="5B8F3775" w14:textId="77777777" w:rsidR="000C1E0E" w:rsidRDefault="000C1E0E" w:rsidP="000C1E0E">
      <w:pPr>
        <w:tabs>
          <w:tab w:val="num" w:pos="0"/>
        </w:tabs>
        <w:spacing w:line="240" w:lineRule="auto"/>
        <w:ind w:left="720"/>
        <w:rPr>
          <w:rFonts w:ascii="Times New Roman" w:hAnsi="Times New Roman"/>
          <w:sz w:val="24"/>
          <w:szCs w:val="24"/>
          <w:lang w:eastAsia="en-US"/>
        </w:rPr>
      </w:pPr>
    </w:p>
    <w:p w14:paraId="204F65F6" w14:textId="77777777" w:rsidR="000C1E0E" w:rsidRDefault="000C1E0E" w:rsidP="000C1E0E">
      <w:pPr>
        <w:tabs>
          <w:tab w:val="num" w:pos="0"/>
        </w:tabs>
        <w:spacing w:line="240" w:lineRule="auto"/>
        <w:ind w:left="720"/>
        <w:rPr>
          <w:rFonts w:ascii="Times New Roman" w:hAnsi="Times New Roman"/>
          <w:sz w:val="24"/>
          <w:szCs w:val="24"/>
          <w:lang w:eastAsia="en-US"/>
        </w:rPr>
      </w:pPr>
    </w:p>
    <w:p w14:paraId="21075BC5" w14:textId="77777777" w:rsidR="000C1E0E" w:rsidRDefault="000C1E0E" w:rsidP="000C1E0E">
      <w:pPr>
        <w:tabs>
          <w:tab w:val="num" w:pos="0"/>
        </w:tabs>
        <w:spacing w:line="240" w:lineRule="auto"/>
        <w:ind w:left="720"/>
        <w:rPr>
          <w:rFonts w:ascii="Times New Roman" w:hAnsi="Times New Roman"/>
          <w:sz w:val="24"/>
          <w:szCs w:val="24"/>
          <w:lang w:eastAsia="en-US"/>
        </w:rPr>
      </w:pPr>
    </w:p>
    <w:p w14:paraId="32586065" w14:textId="77777777" w:rsidR="000C1E0E" w:rsidRDefault="000C1E0E" w:rsidP="000C1E0E">
      <w:pPr>
        <w:tabs>
          <w:tab w:val="num" w:pos="0"/>
        </w:tabs>
        <w:spacing w:line="240" w:lineRule="auto"/>
        <w:ind w:left="720"/>
        <w:rPr>
          <w:rFonts w:ascii="Times New Roman" w:hAnsi="Times New Roman"/>
          <w:sz w:val="24"/>
          <w:szCs w:val="24"/>
          <w:lang w:eastAsia="en-US"/>
        </w:rPr>
      </w:pPr>
    </w:p>
    <w:p w14:paraId="0376D5A4" w14:textId="77777777" w:rsidR="000C1E0E" w:rsidRDefault="000C1E0E" w:rsidP="000C1E0E">
      <w:pPr>
        <w:tabs>
          <w:tab w:val="num" w:pos="0"/>
        </w:tabs>
        <w:spacing w:line="240" w:lineRule="auto"/>
        <w:ind w:left="720"/>
        <w:rPr>
          <w:rFonts w:ascii="Times New Roman" w:hAnsi="Times New Roman"/>
          <w:sz w:val="24"/>
          <w:szCs w:val="24"/>
          <w:lang w:eastAsia="en-US"/>
        </w:rPr>
      </w:pPr>
    </w:p>
    <w:p w14:paraId="00EEAAFB" w14:textId="77777777" w:rsidR="000C1E0E" w:rsidRDefault="000C1E0E" w:rsidP="000C1E0E">
      <w:pPr>
        <w:spacing w:line="240" w:lineRule="auto"/>
        <w:jc w:val="left"/>
        <w:rPr>
          <w:rFonts w:ascii="Times New Roman" w:eastAsia="Calibri" w:hAnsi="Times New Roman"/>
          <w:sz w:val="24"/>
          <w:szCs w:val="24"/>
          <w:lang w:eastAsia="en-US"/>
        </w:rPr>
      </w:pPr>
      <w:r>
        <w:rPr>
          <w:rFonts w:ascii="Times New Roman" w:eastAsia="Calibri" w:hAnsi="Times New Roman"/>
          <w:sz w:val="24"/>
          <w:szCs w:val="24"/>
        </w:rPr>
        <w:br w:type="page"/>
      </w:r>
      <w:r>
        <w:rPr>
          <w:rFonts w:ascii="Times New Roman" w:eastAsia="Calibri" w:hAnsi="Times New Roman"/>
          <w:sz w:val="24"/>
          <w:szCs w:val="24"/>
          <w:lang w:eastAsia="en-US"/>
        </w:rPr>
        <w:t xml:space="preserve">Приложение №1  </w:t>
      </w:r>
    </w:p>
    <w:p w14:paraId="5F220DB6" w14:textId="77777777" w:rsidR="000C1E0E" w:rsidRDefault="000C1E0E" w:rsidP="000C1E0E">
      <w:pPr>
        <w:tabs>
          <w:tab w:val="left" w:pos="3069"/>
        </w:tabs>
        <w:spacing w:after="200" w:line="276" w:lineRule="auto"/>
        <w:jc w:val="right"/>
        <w:rPr>
          <w:rFonts w:ascii="Times New Roman" w:eastAsia="Calibri" w:hAnsi="Times New Roman" w:cstheme="minorBidi"/>
          <w:sz w:val="24"/>
          <w:szCs w:val="24"/>
          <w:lang w:eastAsia="en-US"/>
        </w:rPr>
      </w:pPr>
      <w:r>
        <w:rPr>
          <w:rFonts w:ascii="Times New Roman" w:eastAsia="Calibri" w:hAnsi="Times New Roman" w:cstheme="minorBidi"/>
          <w:sz w:val="24"/>
          <w:szCs w:val="24"/>
          <w:lang w:eastAsia="en-US"/>
        </w:rPr>
        <w:t>к Правилам</w:t>
      </w:r>
      <w:r>
        <w:rPr>
          <w:rFonts w:ascii="Times New Roman" w:eastAsiaTheme="minorHAnsi" w:hAnsi="Times New Roman" w:cstheme="minorBidi"/>
          <w:sz w:val="24"/>
          <w:szCs w:val="24"/>
          <w:lang w:eastAsia="en-US"/>
        </w:rPr>
        <w:t xml:space="preserve"> определения СЧА</w:t>
      </w:r>
    </w:p>
    <w:p w14:paraId="3874F79B" w14:textId="77777777" w:rsidR="000C1E0E" w:rsidRDefault="000C1E0E" w:rsidP="000C1E0E">
      <w:pPr>
        <w:spacing w:before="120" w:after="200" w:line="360" w:lineRule="auto"/>
        <w:jc w:val="right"/>
        <w:rPr>
          <w:rFonts w:ascii="Times New Roman" w:eastAsia="Batang" w:hAnsi="Times New Roman"/>
          <w:sz w:val="24"/>
          <w:szCs w:val="24"/>
          <w:lang w:eastAsia="en-US"/>
        </w:rPr>
      </w:pPr>
    </w:p>
    <w:p w14:paraId="7A4BB73E" w14:textId="77777777" w:rsidR="000C1E0E" w:rsidRDefault="000C1E0E" w:rsidP="000C1E0E">
      <w:pPr>
        <w:spacing w:before="120" w:after="200" w:line="360" w:lineRule="auto"/>
        <w:jc w:val="right"/>
        <w:rPr>
          <w:rFonts w:ascii="Times New Roman" w:eastAsia="Batang" w:hAnsi="Times New Roman"/>
          <w:sz w:val="24"/>
          <w:szCs w:val="24"/>
          <w:lang w:eastAsia="en-US"/>
        </w:rPr>
      </w:pPr>
    </w:p>
    <w:p w14:paraId="45C1BFBB" w14:textId="77777777" w:rsidR="000C1E0E" w:rsidRDefault="000C1E0E" w:rsidP="000C1E0E">
      <w:pPr>
        <w:spacing w:before="120" w:after="200" w:line="360" w:lineRule="auto"/>
        <w:jc w:val="right"/>
        <w:rPr>
          <w:rFonts w:ascii="Times New Roman" w:eastAsia="Batang" w:hAnsi="Times New Roman"/>
          <w:sz w:val="24"/>
          <w:szCs w:val="24"/>
          <w:lang w:eastAsia="en-US"/>
        </w:rPr>
      </w:pPr>
    </w:p>
    <w:p w14:paraId="34E54CAA" w14:textId="77777777" w:rsidR="000C1E0E" w:rsidRDefault="000C1E0E" w:rsidP="000C1E0E">
      <w:pPr>
        <w:spacing w:before="120" w:after="200" w:line="360" w:lineRule="auto"/>
        <w:jc w:val="right"/>
        <w:rPr>
          <w:rFonts w:ascii="Times New Roman" w:eastAsia="Batang" w:hAnsi="Times New Roman"/>
          <w:sz w:val="24"/>
          <w:szCs w:val="24"/>
          <w:lang w:eastAsia="en-US"/>
        </w:rPr>
      </w:pPr>
    </w:p>
    <w:p w14:paraId="5BBAE687" w14:textId="77777777" w:rsidR="000C1E0E" w:rsidRDefault="000C1E0E" w:rsidP="000C1E0E">
      <w:pPr>
        <w:spacing w:line="360" w:lineRule="auto"/>
        <w:jc w:val="right"/>
        <w:rPr>
          <w:rFonts w:ascii="Times New Roman" w:eastAsia="Batang" w:hAnsi="Times New Roman"/>
          <w:sz w:val="24"/>
          <w:szCs w:val="24"/>
          <w:lang w:eastAsia="en-US"/>
        </w:rPr>
      </w:pPr>
    </w:p>
    <w:p w14:paraId="2C2AC1E7" w14:textId="77777777" w:rsidR="000C1E0E" w:rsidRDefault="000C1E0E" w:rsidP="000C1E0E">
      <w:pPr>
        <w:tabs>
          <w:tab w:val="left" w:pos="3069"/>
        </w:tabs>
        <w:spacing w:line="36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Модель определения расчётной цены для</w:t>
      </w:r>
    </w:p>
    <w:p w14:paraId="7F5D943B" w14:textId="77777777" w:rsidR="000C1E0E" w:rsidRDefault="000C1E0E" w:rsidP="000C1E0E">
      <w:pPr>
        <w:tabs>
          <w:tab w:val="left" w:pos="3069"/>
        </w:tabs>
        <w:spacing w:line="36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российских долговых ценных бумаг, номинированных в рублях, и еврооблигаций</w:t>
      </w:r>
    </w:p>
    <w:p w14:paraId="440C890E"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2FF2AE09"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0C0B61D8"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2BB55564"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6699A076"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2EADC57B"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5B7DC7C3"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03657A01"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67063CFF"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755EEB29"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55706CA5"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5504CD3B"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344241BA"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6CE0489F"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734EE39C"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347ECE6F"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7FC24E6A" w14:textId="77777777" w:rsidR="000C1E0E" w:rsidRDefault="000C1E0E" w:rsidP="000C1E0E">
      <w:pPr>
        <w:spacing w:after="200" w:line="276" w:lineRule="auto"/>
        <w:jc w:val="left"/>
        <w:rPr>
          <w:rFonts w:ascii="Times New Roman" w:eastAsiaTheme="minorHAnsi" w:hAnsi="Times New Roman"/>
          <w:b/>
          <w:sz w:val="24"/>
          <w:szCs w:val="24"/>
          <w:lang w:eastAsia="en-US"/>
        </w:rPr>
      </w:pPr>
      <w:r>
        <w:rPr>
          <w:rFonts w:ascii="Times New Roman" w:eastAsiaTheme="minorHAnsi" w:hAnsi="Times New Roman"/>
          <w:b/>
          <w:sz w:val="24"/>
          <w:szCs w:val="24"/>
          <w:lang w:eastAsia="en-US"/>
        </w:rPr>
        <w:br w:type="page"/>
      </w:r>
    </w:p>
    <w:p w14:paraId="5C472D65" w14:textId="77777777" w:rsidR="000C1E0E" w:rsidRDefault="000C1E0E" w:rsidP="000C1E0E">
      <w:pPr>
        <w:spacing w:line="360" w:lineRule="auto"/>
        <w:ind w:firstLine="426"/>
        <w:jc w:val="left"/>
        <w:rPr>
          <w:rFonts w:ascii="Times New Roman" w:eastAsiaTheme="minorHAnsi" w:hAnsi="Times New Roman"/>
          <w:b/>
          <w:sz w:val="24"/>
          <w:szCs w:val="24"/>
          <w:u w:val="single"/>
          <w:lang w:eastAsia="en-US"/>
        </w:rPr>
      </w:pPr>
      <w:r>
        <w:rPr>
          <w:rFonts w:ascii="Times New Roman" w:eastAsiaTheme="minorHAnsi" w:hAnsi="Times New Roman"/>
          <w:b/>
          <w:sz w:val="24"/>
          <w:szCs w:val="24"/>
          <w:u w:val="single"/>
          <w:lang w:eastAsia="en-US"/>
        </w:rPr>
        <w:t>Рублевые облигации российских эмитентов</w:t>
      </w:r>
    </w:p>
    <w:p w14:paraId="31A56352"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b/>
          <w:sz w:val="24"/>
          <w:szCs w:val="24"/>
          <w:lang w:eastAsia="en-US"/>
        </w:rPr>
        <w:t>Уровень 2.</w:t>
      </w:r>
      <w:r>
        <w:rPr>
          <w:rFonts w:ascii="Times New Roman" w:eastAsiaTheme="minorHAnsi" w:hAnsi="Times New Roman"/>
          <w:sz w:val="24"/>
          <w:szCs w:val="24"/>
          <w:lang w:eastAsia="en-US"/>
        </w:rPr>
        <w:t xml:space="preserve"> В случае отсутствия активного рынка на дату оценки, а так же в случае, если основным рынком для облигации является внебиржевой рынок, справедливой ценой облигации признается одна из следующих котировок (расположены в сторону уменьшения приоритетности):</w:t>
      </w:r>
    </w:p>
    <w:p w14:paraId="30DFFC49"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1. Котировка, рассчитанная Ценовым центром НРД по Методике определения стоимости справедливых цен рублевых облигаций</w:t>
      </w:r>
      <w:r>
        <w:rPr>
          <w:sz w:val="24"/>
          <w:szCs w:val="24"/>
        </w:rPr>
        <w:t xml:space="preserve"> </w:t>
      </w:r>
      <w:r>
        <w:rPr>
          <w:b/>
          <w:sz w:val="24"/>
          <w:szCs w:val="24"/>
        </w:rPr>
        <w:t>по методологиям, утвержденным 01.12.2017 и позднее</w:t>
      </w:r>
      <w:r>
        <w:rPr>
          <w:rFonts w:ascii="Times New Roman" w:eastAsiaTheme="minorHAnsi" w:hAnsi="Times New Roman"/>
          <w:sz w:val="24"/>
          <w:szCs w:val="24"/>
          <w:lang w:eastAsia="en-US"/>
        </w:rPr>
        <w:t>, далее – «Методика НРД для рублевых облигаций».</w:t>
      </w:r>
    </w:p>
    <w:p w14:paraId="1BDE388A"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2. Котировка, рассчитанная Ценовым центром НРД по Методике определения справедливых цен НРД, далее – «Методика ОСЦ НРД».</w:t>
      </w:r>
    </w:p>
    <w:p w14:paraId="372BCC91"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3. Если для одного из 30 торговых дней, предшествующих дате расчета справедливой стоимости, имеется возможность определить справедливую стоимость с использованием котировок, применяемых для оценки по Уровню 1 (определяется LEGAL_CLOSE_PRICE при условии VOLUME &gt;0 при наличии активного рынка), применяется метод корректировки последней исторической цены по соответствующим ценовым облигационным индексам, ежедневно публикуемым Московской биржей (описание: www.moex.com/ru/index/RUABITR/about/): индекс государственных облигаций RGBI, индекс корпоративных облигаций MICEXCBICP, индекс муниципальных облигаций MICEXMBICP (кроме случаев, когда основным рынком для облигации является внебиржевой рынок).</w:t>
      </w:r>
    </w:p>
    <w:p w14:paraId="2653A6A0" w14:textId="77777777" w:rsidR="000C1E0E" w:rsidRDefault="00C84628" w:rsidP="000C1E0E">
      <w:pPr>
        <w:spacing w:line="360" w:lineRule="auto"/>
        <w:rPr>
          <w:rFonts w:ascii="Times New Roman" w:hAnsi="Times New Roman"/>
          <w:sz w:val="24"/>
          <w:szCs w:val="24"/>
          <w:lang w:eastAsia="en-US"/>
        </w:rPr>
      </w:pPr>
      <m:oMathPara>
        <m:oMath>
          <m:sSub>
            <m:sSubPr>
              <m:ctrlPr>
                <w:rPr>
                  <w:rFonts w:ascii="Cambria Math" w:hAnsi="Cambria Math"/>
                  <w:sz w:val="24"/>
                  <w:szCs w:val="24"/>
                  <w:lang w:eastAsia="en-US"/>
                </w:rPr>
              </m:ctrlPr>
            </m:sSubPr>
            <m:e>
              <m:r>
                <m:rPr>
                  <m:sty m:val="p"/>
                </m:rPr>
                <w:rPr>
                  <w:rFonts w:ascii="Cambria Math" w:hAnsi="Times New Roman"/>
                  <w:sz w:val="24"/>
                  <w:szCs w:val="24"/>
                  <w:lang w:eastAsia="en-US"/>
                </w:rPr>
                <m:t>P</m:t>
              </m:r>
            </m:e>
            <m:sub>
              <m:r>
                <m:rPr>
                  <m:sty m:val="p"/>
                </m:rPr>
                <w:rPr>
                  <w:rFonts w:ascii="Cambria Math" w:hAnsi="Times New Roman"/>
                  <w:sz w:val="24"/>
                  <w:szCs w:val="24"/>
                  <w:lang w:eastAsia="en-US"/>
                </w:rPr>
                <m:t>1</m:t>
              </m:r>
            </m:sub>
          </m:sSub>
          <m:r>
            <m:rPr>
              <m:sty m:val="p"/>
            </m:rPr>
            <w:rPr>
              <w:rFonts w:ascii="Cambria Math" w:hAnsi="Times New Roman"/>
              <w:sz w:val="24"/>
              <w:szCs w:val="24"/>
              <w:lang w:eastAsia="en-US"/>
            </w:rPr>
            <m:t>=</m:t>
          </m:r>
          <m:sSub>
            <m:sSubPr>
              <m:ctrlPr>
                <w:rPr>
                  <w:rFonts w:ascii="Cambria Math" w:hAnsi="Cambria Math"/>
                  <w:sz w:val="24"/>
                  <w:szCs w:val="24"/>
                  <w:lang w:eastAsia="en-US"/>
                </w:rPr>
              </m:ctrlPr>
            </m:sSubPr>
            <m:e>
              <m:r>
                <m:rPr>
                  <m:sty m:val="p"/>
                </m:rPr>
                <w:rPr>
                  <w:rFonts w:ascii="Cambria Math" w:hAnsi="Times New Roman"/>
                  <w:sz w:val="24"/>
                  <w:szCs w:val="24"/>
                  <w:lang w:eastAsia="en-US"/>
                </w:rPr>
                <m:t>P</m:t>
              </m:r>
            </m:e>
            <m:sub>
              <m:r>
                <m:rPr>
                  <m:sty m:val="p"/>
                </m:rPr>
                <w:rPr>
                  <w:rFonts w:ascii="Cambria Math" w:hAnsi="Times New Roman"/>
                  <w:sz w:val="24"/>
                  <w:szCs w:val="24"/>
                  <w:lang w:eastAsia="en-US"/>
                </w:rPr>
                <m:t>0</m:t>
              </m:r>
            </m:sub>
          </m:sSub>
          <m:r>
            <m:rPr>
              <m:sty m:val="p"/>
            </m:rPr>
            <w:rPr>
              <w:rFonts w:ascii="Cambria Math" w:hAnsi="Cambria Math"/>
              <w:sz w:val="24"/>
              <w:szCs w:val="24"/>
              <w:lang w:eastAsia="en-US"/>
            </w:rPr>
            <m:t>×</m:t>
          </m:r>
          <m:d>
            <m:dPr>
              <m:ctrlPr>
                <w:rPr>
                  <w:rFonts w:ascii="Cambria Math" w:hAnsi="Cambria Math"/>
                  <w:sz w:val="24"/>
                  <w:szCs w:val="24"/>
                  <w:lang w:eastAsia="en-US"/>
                </w:rPr>
              </m:ctrlPr>
            </m:dPr>
            <m:e>
              <m:r>
                <m:rPr>
                  <m:sty m:val="p"/>
                </m:rPr>
                <w:rPr>
                  <w:rFonts w:ascii="Cambria Math" w:hAnsi="Times New Roman"/>
                  <w:sz w:val="24"/>
                  <w:szCs w:val="24"/>
                  <w:lang w:eastAsia="en-US"/>
                </w:rPr>
                <m:t>1+E(R)</m:t>
              </m:r>
            </m:e>
          </m:d>
        </m:oMath>
      </m:oMathPara>
    </w:p>
    <w:p w14:paraId="722C1AB1" w14:textId="77777777" w:rsidR="000C1E0E" w:rsidRDefault="000C1E0E" w:rsidP="000C1E0E">
      <w:pPr>
        <w:spacing w:line="360" w:lineRule="auto"/>
        <w:rPr>
          <w:rFonts w:ascii="Times New Roman" w:hAnsi="Times New Roman"/>
          <w:sz w:val="24"/>
          <w:szCs w:val="24"/>
          <w:lang w:eastAsia="en-US"/>
        </w:rPr>
      </w:pPr>
    </w:p>
    <w:p w14:paraId="2108FEF3" w14:textId="77777777" w:rsidR="000C1E0E" w:rsidRDefault="000C1E0E" w:rsidP="000C1E0E">
      <w:pPr>
        <w:spacing w:line="360" w:lineRule="auto"/>
        <w:rPr>
          <w:rFonts w:ascii="Times New Roman" w:hAnsi="Times New Roman"/>
          <w:sz w:val="24"/>
          <w:szCs w:val="24"/>
          <w:lang w:eastAsia="en-US"/>
        </w:rPr>
      </w:pPr>
      <w:r>
        <w:rPr>
          <w:rFonts w:ascii="Times New Roman" w:hAnsi="Times New Roman"/>
          <w:sz w:val="24"/>
          <w:szCs w:val="24"/>
          <w:lang w:eastAsia="en-US"/>
        </w:rPr>
        <w:t>Формула расчета ожидаемой доходности модели CAPM:</w:t>
      </w:r>
    </w:p>
    <w:p w14:paraId="7129737C" w14:textId="77777777" w:rsidR="000C1E0E" w:rsidRDefault="000C1E0E" w:rsidP="000C1E0E">
      <w:pPr>
        <w:spacing w:line="360" w:lineRule="auto"/>
        <w:rPr>
          <w:rFonts w:ascii="Times New Roman" w:hAnsi="Times New Roman"/>
          <w:sz w:val="24"/>
          <w:szCs w:val="24"/>
          <w:lang w:eastAsia="en-US"/>
        </w:rPr>
      </w:pPr>
    </w:p>
    <w:p w14:paraId="5E4059A0" w14:textId="77777777" w:rsidR="000C1E0E" w:rsidRDefault="000C1E0E" w:rsidP="000C1E0E">
      <w:pPr>
        <w:spacing w:line="360" w:lineRule="auto"/>
        <w:rPr>
          <w:rFonts w:ascii="Times New Roman" w:hAnsi="Times New Roman"/>
          <w:sz w:val="24"/>
          <w:szCs w:val="24"/>
          <w:lang w:eastAsia="en-US"/>
        </w:rPr>
      </w:pPr>
      <m:oMathPara>
        <m:oMath>
          <m:r>
            <m:rPr>
              <m:sty m:val="p"/>
            </m:rPr>
            <w:rPr>
              <w:rFonts w:ascii="Cambria Math" w:hAnsi="Times New Roman"/>
              <w:sz w:val="24"/>
              <w:szCs w:val="24"/>
              <w:lang w:eastAsia="en-US"/>
            </w:rPr>
            <m:t>E</m:t>
          </m:r>
          <m:d>
            <m:dPr>
              <m:ctrlPr>
                <w:rPr>
                  <w:rFonts w:ascii="Cambria Math" w:hAnsi="Cambria Math"/>
                  <w:sz w:val="24"/>
                  <w:szCs w:val="24"/>
                  <w:lang w:eastAsia="en-US"/>
                </w:rPr>
              </m:ctrlPr>
            </m:dPr>
            <m:e>
              <m:r>
                <m:rPr>
                  <m:sty m:val="p"/>
                </m:rPr>
                <w:rPr>
                  <w:rFonts w:ascii="Cambria Math" w:hAnsi="Times New Roman"/>
                  <w:sz w:val="24"/>
                  <w:szCs w:val="24"/>
                  <w:lang w:eastAsia="en-US"/>
                </w:rPr>
                <m:t>R</m:t>
              </m:r>
            </m:e>
          </m:d>
          <m:r>
            <m:rPr>
              <m:sty m:val="p"/>
            </m:rPr>
            <w:rPr>
              <w:rFonts w:ascii="Cambria Math" w:hAnsi="Times New Roman"/>
              <w:sz w:val="24"/>
              <w:szCs w:val="24"/>
              <w:lang w:eastAsia="en-US"/>
            </w:rPr>
            <m:t>=</m:t>
          </m:r>
          <m:sSubSup>
            <m:sSubSupPr>
              <m:ctrlPr>
                <w:rPr>
                  <w:rFonts w:ascii="Cambria Math" w:hAnsi="Cambria Math"/>
                  <w:sz w:val="24"/>
                  <w:szCs w:val="24"/>
                  <w:lang w:eastAsia="en-US"/>
                </w:rPr>
              </m:ctrlPr>
            </m:sSubSupPr>
            <m:e>
              <m:r>
                <m:rPr>
                  <m:sty m:val="p"/>
                </m:rPr>
                <w:rPr>
                  <w:rFonts w:ascii="Cambria Math" w:hAnsi="Times New Roman"/>
                  <w:sz w:val="24"/>
                  <w:szCs w:val="24"/>
                  <w:lang w:eastAsia="en-US"/>
                </w:rPr>
                <m:t>R</m:t>
              </m:r>
            </m:e>
            <m:sub>
              <m:r>
                <m:rPr>
                  <m:sty m:val="p"/>
                </m:rPr>
                <w:rPr>
                  <w:rFonts w:ascii="Cambria Math" w:hAnsi="Times New Roman"/>
                  <w:sz w:val="24"/>
                  <w:szCs w:val="24"/>
                  <w:lang w:eastAsia="en-US"/>
                </w:rPr>
                <m:t>f</m:t>
              </m:r>
            </m:sub>
            <m:sup>
              <m:r>
                <m:rPr>
                  <m:sty m:val="p"/>
                </m:rPr>
                <w:rPr>
                  <w:rFonts w:ascii="Cambria Math" w:hAnsi="Cambria Math"/>
                  <w:sz w:val="24"/>
                  <w:szCs w:val="24"/>
                  <w:lang w:eastAsia="en-US"/>
                </w:rPr>
                <m:t>'</m:t>
              </m:r>
            </m:sup>
          </m:sSubSup>
          <m:r>
            <m:rPr>
              <m:sty m:val="p"/>
            </m:rPr>
            <w:rPr>
              <w:rFonts w:ascii="Cambria Math" w:hAnsi="Times New Roman"/>
              <w:sz w:val="24"/>
              <w:szCs w:val="24"/>
              <w:lang w:eastAsia="en-US"/>
            </w:rPr>
            <m:t>+</m:t>
          </m:r>
          <m:r>
            <m:rPr>
              <m:sty m:val="p"/>
            </m:rPr>
            <w:rPr>
              <w:rFonts w:ascii="Cambria Math" w:hAnsi="Cambria Math"/>
              <w:sz w:val="24"/>
              <w:szCs w:val="24"/>
              <w:lang w:eastAsia="en-US"/>
            </w:rPr>
            <m:t>β</m:t>
          </m:r>
          <m:r>
            <m:rPr>
              <m:sty m:val="p"/>
            </m:rPr>
            <w:rPr>
              <w:rFonts w:ascii="Cambria Math" w:hAnsi="Times New Roman"/>
              <w:sz w:val="24"/>
              <w:szCs w:val="24"/>
              <w:lang w:eastAsia="en-US"/>
            </w:rPr>
            <m:t xml:space="preserve"> </m:t>
          </m:r>
          <m:d>
            <m:dPr>
              <m:ctrlPr>
                <w:rPr>
                  <w:rFonts w:ascii="Cambria Math" w:hAnsi="Cambria Math"/>
                  <w:sz w:val="24"/>
                  <w:szCs w:val="24"/>
                  <w:lang w:eastAsia="en-US"/>
                </w:rPr>
              </m:ctrlPr>
            </m:dPr>
            <m:e>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m</m:t>
                  </m:r>
                </m:sub>
              </m:sSub>
              <m:r>
                <m:rPr>
                  <m:sty m:val="p"/>
                </m:rPr>
                <w:rPr>
                  <w:rFonts w:ascii="Cambria Math" w:hAnsi="Cambria Math"/>
                  <w:sz w:val="24"/>
                  <w:szCs w:val="24"/>
                  <w:lang w:eastAsia="en-US"/>
                </w:rPr>
                <m:t>-</m:t>
              </m:r>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f</m:t>
                  </m:r>
                </m:sub>
              </m:sSub>
            </m:e>
          </m:d>
        </m:oMath>
      </m:oMathPara>
    </w:p>
    <w:p w14:paraId="65BB3972" w14:textId="77777777" w:rsidR="000C1E0E" w:rsidRDefault="000C1E0E" w:rsidP="000C1E0E">
      <w:pPr>
        <w:spacing w:line="360" w:lineRule="auto"/>
        <w:rPr>
          <w:rFonts w:ascii="Times New Roman" w:hAnsi="Times New Roman"/>
          <w:sz w:val="24"/>
          <w:szCs w:val="24"/>
          <w:lang w:eastAsia="en-US"/>
        </w:rPr>
      </w:pPr>
    </w:p>
    <w:p w14:paraId="5A97C0F3" w14:textId="77777777" w:rsidR="000C1E0E" w:rsidRDefault="00C84628" w:rsidP="000C1E0E">
      <w:pPr>
        <w:spacing w:line="360" w:lineRule="auto"/>
        <w:rPr>
          <w:rFonts w:ascii="Times New Roman" w:hAnsi="Times New Roman"/>
          <w:sz w:val="24"/>
          <w:szCs w:val="24"/>
          <w:lang w:eastAsia="en-US"/>
        </w:rPr>
      </w:pPr>
      <m:oMathPara>
        <m:oMath>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m</m:t>
              </m:r>
            </m:sub>
          </m:sSub>
          <m:r>
            <m:rPr>
              <m:sty m:val="p"/>
            </m:rPr>
            <w:rPr>
              <w:rFonts w:ascii="Cambria Math" w:hAnsi="Times New Roman"/>
              <w:sz w:val="24"/>
              <w:szCs w:val="24"/>
              <w:lang w:eastAsia="en-US"/>
            </w:rPr>
            <m:t>=</m:t>
          </m:r>
          <m:f>
            <m:fPr>
              <m:ctrlPr>
                <w:rPr>
                  <w:rFonts w:ascii="Cambria Math" w:hAnsi="Cambria Math"/>
                  <w:sz w:val="24"/>
                  <w:szCs w:val="24"/>
                  <w:lang w:eastAsia="en-US"/>
                </w:rPr>
              </m:ctrlPr>
            </m:fPr>
            <m:num>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1</m:t>
                  </m:r>
                </m:sub>
              </m:sSub>
            </m:num>
            <m:den>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0</m:t>
                  </m:r>
                </m:sub>
              </m:sSub>
            </m:den>
          </m:f>
          <m:r>
            <m:rPr>
              <m:sty m:val="p"/>
            </m:rPr>
            <w:rPr>
              <w:rFonts w:ascii="Cambria Math" w:hAnsi="Cambria Math"/>
              <w:sz w:val="24"/>
              <w:szCs w:val="24"/>
              <w:lang w:eastAsia="en-US"/>
            </w:rPr>
            <m:t>-</m:t>
          </m:r>
          <m:r>
            <m:rPr>
              <m:sty m:val="p"/>
            </m:rPr>
            <w:rPr>
              <w:rFonts w:ascii="Cambria Math" w:hAnsi="Times New Roman"/>
              <w:sz w:val="24"/>
              <w:szCs w:val="24"/>
              <w:lang w:eastAsia="en-US"/>
            </w:rPr>
            <m:t>1</m:t>
          </m:r>
        </m:oMath>
      </m:oMathPara>
    </w:p>
    <w:p w14:paraId="0AD211C2" w14:textId="77777777" w:rsidR="000C1E0E" w:rsidRDefault="000C1E0E" w:rsidP="000C1E0E">
      <w:pPr>
        <w:spacing w:line="360" w:lineRule="auto"/>
        <w:rPr>
          <w:rFonts w:ascii="Times New Roman" w:hAnsi="Times New Roman"/>
          <w:sz w:val="24"/>
          <w:szCs w:val="24"/>
          <w:lang w:eastAsia="en-US"/>
        </w:rPr>
      </w:pPr>
    </w:p>
    <w:p w14:paraId="37FFED09" w14:textId="77777777" w:rsidR="000C1E0E" w:rsidRDefault="000C1E0E" w:rsidP="000C1E0E">
      <w:pPr>
        <w:spacing w:line="360" w:lineRule="auto"/>
        <w:rPr>
          <w:rFonts w:ascii="Times New Roman" w:hAnsi="Times New Roman"/>
          <w:sz w:val="24"/>
          <w:szCs w:val="24"/>
          <w:lang w:eastAsia="en-US"/>
        </w:rPr>
      </w:pPr>
      <w:r>
        <w:rPr>
          <w:rFonts w:ascii="Times New Roman" w:hAnsi="Times New Roman"/>
          <w:sz w:val="24"/>
          <w:szCs w:val="24"/>
          <w:lang w:eastAsia="en-US"/>
        </w:rPr>
        <w:t>Параметры формул расчета справедливой стоимости, модели CAPM:</w:t>
      </w:r>
    </w:p>
    <w:p w14:paraId="70353687" w14:textId="77777777" w:rsidR="000C1E0E" w:rsidRDefault="00C84628"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m:t>
            </m:r>
          </m:e>
          <m:sub>
            <m:r>
              <m:rPr>
                <m:sty m:val="p"/>
              </m:rPr>
              <w:rPr>
                <w:rFonts w:ascii="Cambria Math" w:hAnsi="Times New Roman"/>
                <w:sz w:val="24"/>
                <w:szCs w:val="24"/>
                <w:lang w:eastAsia="en-US"/>
              </w:rPr>
              <m:t>1</m:t>
            </m:r>
          </m:sub>
        </m:sSub>
      </m:oMath>
      <w:r w:rsidR="000C1E0E">
        <w:rPr>
          <w:rFonts w:ascii="Times New Roman" w:hAnsi="Times New Roman"/>
          <w:sz w:val="24"/>
          <w:szCs w:val="24"/>
          <w:lang w:eastAsia="en-US"/>
        </w:rPr>
        <w:t xml:space="preserve"> – справедливая стоимость одной ценной бумаги на дату определения справедливой стоимости;</w:t>
      </w:r>
    </w:p>
    <w:p w14:paraId="4479C517" w14:textId="77777777" w:rsidR="000C1E0E" w:rsidRDefault="00C84628"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m:t>
            </m:r>
          </m:e>
          <m:sub>
            <m:r>
              <m:rPr>
                <m:sty m:val="p"/>
              </m:rPr>
              <w:rPr>
                <w:rFonts w:ascii="Cambria Math" w:hAnsi="Times New Roman"/>
                <w:sz w:val="24"/>
                <w:szCs w:val="24"/>
                <w:lang w:eastAsia="en-US"/>
              </w:rPr>
              <m:t>0</m:t>
            </m:r>
          </m:sub>
        </m:sSub>
      </m:oMath>
      <w:r w:rsidR="000C1E0E">
        <w:rPr>
          <w:rFonts w:ascii="Times New Roman" w:hAnsi="Times New Roman"/>
          <w:sz w:val="24"/>
          <w:szCs w:val="24"/>
          <w:lang w:eastAsia="en-US"/>
        </w:rPr>
        <w:t xml:space="preserve"> – последняя определенная справедливая стоимость ценной бумаги;</w:t>
      </w:r>
    </w:p>
    <w:p w14:paraId="0E8ADA5A" w14:textId="77777777" w:rsidR="000C1E0E" w:rsidRDefault="00C84628"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1</m:t>
            </m:r>
          </m:sub>
        </m:sSub>
      </m:oMath>
      <w:r w:rsidR="000C1E0E">
        <w:rPr>
          <w:rFonts w:ascii="Times New Roman" w:hAnsi="Times New Roman"/>
          <w:sz w:val="24"/>
          <w:szCs w:val="24"/>
          <w:lang w:eastAsia="en-US"/>
        </w:rPr>
        <w:t xml:space="preserve"> – значение рыночного индикатора на дату определения справедливой стоимости;</w:t>
      </w:r>
    </w:p>
    <w:p w14:paraId="7FE75DBF" w14:textId="77777777" w:rsidR="000C1E0E" w:rsidRDefault="00C84628"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0</m:t>
            </m:r>
          </m:sub>
        </m:sSub>
      </m:oMath>
      <w:r w:rsidR="000C1E0E">
        <w:rPr>
          <w:rFonts w:ascii="Times New Roman" w:hAnsi="Times New Roman"/>
          <w:sz w:val="24"/>
          <w:szCs w:val="24"/>
          <w:lang w:eastAsia="en-US"/>
        </w:rPr>
        <w:t xml:space="preserve"> – значение рыночного индикатора на предыдущую дату определения справедливой стоимости.</w:t>
      </w:r>
    </w:p>
    <w:p w14:paraId="6A046B49" w14:textId="77777777" w:rsidR="000C1E0E" w:rsidRDefault="000C1E0E" w:rsidP="000C1E0E">
      <w:pPr>
        <w:spacing w:line="360" w:lineRule="auto"/>
        <w:rPr>
          <w:rFonts w:ascii="Times New Roman" w:hAnsi="Times New Roman"/>
          <w:sz w:val="24"/>
          <w:szCs w:val="24"/>
          <w:lang w:eastAsia="en-US"/>
        </w:rPr>
      </w:pPr>
      <m:oMath>
        <m:r>
          <m:rPr>
            <m:sty m:val="p"/>
          </m:rPr>
          <w:rPr>
            <w:rFonts w:ascii="Cambria Math" w:hAnsi="Times New Roman"/>
            <w:sz w:val="24"/>
            <w:szCs w:val="24"/>
            <w:lang w:eastAsia="en-US"/>
          </w:rPr>
          <m:t>E</m:t>
        </m:r>
        <m:d>
          <m:dPr>
            <m:ctrlPr>
              <w:rPr>
                <w:rFonts w:ascii="Cambria Math" w:hAnsi="Cambria Math"/>
                <w:sz w:val="24"/>
                <w:szCs w:val="24"/>
                <w:lang w:eastAsia="en-US"/>
              </w:rPr>
            </m:ctrlPr>
          </m:dPr>
          <m:e>
            <m:r>
              <m:rPr>
                <m:sty m:val="p"/>
              </m:rPr>
              <w:rPr>
                <w:rFonts w:ascii="Cambria Math" w:hAnsi="Times New Roman"/>
                <w:sz w:val="24"/>
                <w:szCs w:val="24"/>
                <w:lang w:eastAsia="en-US"/>
              </w:rPr>
              <m:t>R</m:t>
            </m:r>
          </m:e>
        </m:d>
      </m:oMath>
      <w:r>
        <w:rPr>
          <w:rFonts w:ascii="Times New Roman" w:hAnsi="Times New Roman"/>
          <w:sz w:val="24"/>
          <w:szCs w:val="24"/>
          <w:lang w:eastAsia="en-US"/>
        </w:rPr>
        <w:t xml:space="preserve"> – ожидаемая доходность ценной бумаги;</w:t>
      </w:r>
    </w:p>
    <w:p w14:paraId="4694B5F2" w14:textId="77777777" w:rsidR="000C1E0E" w:rsidRDefault="000C1E0E" w:rsidP="000C1E0E">
      <w:pPr>
        <w:spacing w:line="276" w:lineRule="auto"/>
        <w:rPr>
          <w:rFonts w:ascii="Times New Roman" w:hAnsi="Times New Roman"/>
          <w:sz w:val="24"/>
          <w:szCs w:val="24"/>
          <w:lang w:eastAsia="en-US"/>
        </w:rPr>
      </w:pPr>
      <m:oMath>
        <m:r>
          <m:rPr>
            <m:sty m:val="p"/>
          </m:rPr>
          <w:rPr>
            <w:rFonts w:ascii="Cambria Math" w:hAnsi="Cambria Math"/>
            <w:sz w:val="24"/>
            <w:szCs w:val="24"/>
            <w:lang w:eastAsia="en-US"/>
          </w:rPr>
          <m:t>β</m:t>
        </m:r>
      </m:oMath>
      <w:r>
        <w:rPr>
          <w:rFonts w:ascii="Times New Roman" w:hAnsi="Times New Roman"/>
          <w:sz w:val="24"/>
          <w:szCs w:val="24"/>
          <w:lang w:eastAsia="en-US"/>
        </w:rPr>
        <w:t xml:space="preserve"> – Бета коэффициент, рассчитанный по изменениям цен (значений) рыночного индикатора и изменениям цены ценной бумаги. Для расчета коэффициента </w:t>
      </w:r>
      <m:oMath>
        <m:r>
          <m:rPr>
            <m:sty m:val="p"/>
          </m:rPr>
          <w:rPr>
            <w:rFonts w:ascii="Cambria Math" w:hAnsi="Cambria Math"/>
            <w:sz w:val="24"/>
            <w:szCs w:val="24"/>
            <w:lang w:eastAsia="en-US"/>
          </w:rPr>
          <m:t>β</m:t>
        </m:r>
      </m:oMath>
      <w:r>
        <w:rPr>
          <w:rFonts w:ascii="Times New Roman" w:hAnsi="Times New Roman"/>
          <w:sz w:val="24"/>
          <w:szCs w:val="24"/>
          <w:lang w:eastAsia="en-US"/>
        </w:rPr>
        <w:t xml:space="preserve"> используются значения, определенные за последние 45 торговых дней, предшествующих дате определения справедливой стоимости;</w:t>
      </w:r>
    </w:p>
    <w:p w14:paraId="5214EA5E" w14:textId="77777777" w:rsidR="000C1E0E" w:rsidRDefault="00C84628"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m</m:t>
            </m:r>
          </m:sub>
        </m:sSub>
      </m:oMath>
      <w:r w:rsidR="000C1E0E">
        <w:rPr>
          <w:rFonts w:ascii="Times New Roman" w:hAnsi="Times New Roman"/>
          <w:sz w:val="24"/>
          <w:szCs w:val="24"/>
          <w:lang w:eastAsia="en-US"/>
        </w:rPr>
        <w:t xml:space="preserve"> - доходность рыночного индикатора;</w:t>
      </w:r>
    </w:p>
    <w:p w14:paraId="076FEFBE" w14:textId="77777777" w:rsidR="000C1E0E" w:rsidRDefault="00C84628"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Cambria Math"/>
                <w:sz w:val="24"/>
                <w:szCs w:val="24"/>
                <w:lang w:eastAsia="en-US"/>
              </w:rPr>
              <m:t>R</m:t>
            </m:r>
          </m:e>
          <m:sub>
            <m:r>
              <m:rPr>
                <m:sty m:val="p"/>
              </m:rPr>
              <w:rPr>
                <w:rFonts w:ascii="Cambria Math" w:hAnsi="Cambria Math"/>
                <w:sz w:val="24"/>
                <w:szCs w:val="24"/>
                <w:lang w:eastAsia="en-US"/>
              </w:rPr>
              <m:t>f</m:t>
            </m:r>
          </m:sub>
        </m:sSub>
      </m:oMath>
      <w:r w:rsidR="000C1E0E">
        <w:rPr>
          <w:rFonts w:ascii="Times New Roman" w:hAnsi="Times New Roman"/>
          <w:sz w:val="24"/>
          <w:szCs w:val="24"/>
          <w:lang w:eastAsia="en-US"/>
        </w:rPr>
        <w:t xml:space="preserve"> – Risk-free Rate – безрисковая ставка доходности;</w:t>
      </w:r>
    </w:p>
    <w:p w14:paraId="6C4D0C76" w14:textId="77777777" w:rsidR="000C1E0E" w:rsidRDefault="000C1E0E" w:rsidP="000C1E0E">
      <w:pPr>
        <w:spacing w:line="360" w:lineRule="auto"/>
        <w:rPr>
          <w:rFonts w:ascii="Times New Roman" w:hAnsi="Times New Roman"/>
          <w:sz w:val="24"/>
          <w:szCs w:val="24"/>
          <w:lang w:eastAsia="en-US"/>
        </w:rPr>
      </w:pPr>
      <w:r>
        <w:rPr>
          <w:rFonts w:ascii="Times New Roman" w:hAnsi="Times New Roman"/>
          <w:sz w:val="24"/>
          <w:szCs w:val="24"/>
          <w:lang w:eastAsia="en-US"/>
        </w:rPr>
        <w:t>Безрисковая ставка доходности определяется на дату определения справедливой стоимости. Безрисковая ставка доходности приводится к количеству календарных дней между датами ее расчета по формуле:</w:t>
      </w:r>
    </w:p>
    <w:p w14:paraId="62E3ECCC" w14:textId="77777777" w:rsidR="000C1E0E" w:rsidRDefault="00C84628" w:rsidP="000C1E0E">
      <w:pPr>
        <w:spacing w:after="200" w:line="360" w:lineRule="auto"/>
        <w:rPr>
          <w:rFonts w:ascii="Times New Roman" w:eastAsiaTheme="minorHAnsi" w:hAnsi="Times New Roman"/>
          <w:sz w:val="24"/>
          <w:szCs w:val="24"/>
          <w:lang w:eastAsia="en-US"/>
        </w:rPr>
      </w:pPr>
      <m:oMathPara>
        <m:oMath>
          <m:sSubSup>
            <m:sSubSupPr>
              <m:ctrlPr>
                <w:rPr>
                  <w:rFonts w:ascii="Cambria Math" w:hAnsi="Cambria Math"/>
                  <w:i/>
                  <w:sz w:val="24"/>
                  <w:szCs w:val="24"/>
                  <w:lang w:val="en-US" w:eastAsia="en-US"/>
                </w:rPr>
              </m:ctrlPr>
            </m:sSubSupPr>
            <m:e>
              <m:r>
                <w:rPr>
                  <w:rFonts w:ascii="Cambria Math" w:hAnsi="Cambria Math"/>
                  <w:sz w:val="24"/>
                  <w:szCs w:val="24"/>
                  <w:lang w:val="en-US" w:eastAsia="en-US"/>
                </w:rPr>
                <m:t>R</m:t>
              </m:r>
            </m:e>
            <m:sub>
              <m:r>
                <w:rPr>
                  <w:rFonts w:ascii="Cambria Math" w:hAnsi="Cambria Math"/>
                  <w:sz w:val="24"/>
                  <w:szCs w:val="24"/>
                  <w:lang w:val="en-US" w:eastAsia="en-US"/>
                </w:rPr>
                <m:t>f</m:t>
              </m:r>
            </m:sub>
            <m:sup>
              <m:r>
                <w:rPr>
                  <w:rFonts w:ascii="Cambria Math" w:hAnsi="Cambria Math"/>
                  <w:sz w:val="24"/>
                  <w:szCs w:val="24"/>
                  <w:lang w:val="en-US" w:eastAsia="en-US"/>
                </w:rPr>
                <m:t>'</m:t>
              </m:r>
            </m:sup>
          </m:sSubSup>
          <m:r>
            <w:rPr>
              <w:rFonts w:ascii="Cambria Math" w:hAnsi="Cambria Math"/>
              <w:sz w:val="24"/>
              <w:szCs w:val="24"/>
              <w:lang w:val="en-US" w:eastAsia="en-US"/>
            </w:rPr>
            <m:t xml:space="preserve">= </m:t>
          </m:r>
          <m:d>
            <m:dPr>
              <m:ctrlPr>
                <w:rPr>
                  <w:rFonts w:ascii="Cambria Math" w:eastAsiaTheme="minorHAnsi" w:hAnsi="Cambria Math"/>
                  <w:i/>
                  <w:sz w:val="24"/>
                  <w:szCs w:val="24"/>
                  <w:lang w:val="en-US" w:eastAsia="en-US"/>
                </w:rPr>
              </m:ctrlPr>
            </m:dPr>
            <m:e>
              <m:sSub>
                <m:sSubPr>
                  <m:ctrlPr>
                    <w:rPr>
                      <w:rFonts w:ascii="Cambria Math" w:eastAsiaTheme="minorHAnsi" w:hAnsi="Cambria Math"/>
                      <w:i/>
                      <w:sz w:val="24"/>
                      <w:szCs w:val="24"/>
                      <w:lang w:val="en-US" w:eastAsia="en-US"/>
                    </w:rPr>
                  </m:ctrlPr>
                </m:sSubPr>
                <m:e>
                  <m:r>
                    <w:rPr>
                      <w:rFonts w:ascii="Cambria Math" w:eastAsiaTheme="minorHAnsi" w:hAnsi="Cambria Math"/>
                      <w:sz w:val="24"/>
                      <w:szCs w:val="24"/>
                      <w:lang w:val="en-US" w:eastAsia="en-US"/>
                    </w:rPr>
                    <m:t>R</m:t>
                  </m:r>
                </m:e>
                <m:sub>
                  <m:r>
                    <w:rPr>
                      <w:rFonts w:ascii="Cambria Math" w:eastAsiaTheme="minorHAnsi" w:hAnsi="Cambria Math"/>
                      <w:sz w:val="24"/>
                      <w:szCs w:val="24"/>
                      <w:lang w:val="en-US" w:eastAsia="en-US"/>
                    </w:rPr>
                    <m:t>f</m:t>
                  </m:r>
                </m:sub>
              </m:sSub>
              <m:r>
                <w:rPr>
                  <w:rFonts w:ascii="Cambria Math" w:eastAsiaTheme="minorHAnsi" w:hAnsi="Cambria Math"/>
                  <w:sz w:val="24"/>
                  <w:szCs w:val="24"/>
                  <w:lang w:val="en-US" w:eastAsia="en-US"/>
                </w:rPr>
                <m:t>/365</m:t>
              </m:r>
            </m:e>
          </m:d>
          <m:r>
            <w:rPr>
              <w:rFonts w:ascii="Cambria Math" w:eastAsiaTheme="minorHAnsi" w:hAnsi="Cambria Math"/>
              <w:sz w:val="24"/>
              <w:szCs w:val="24"/>
              <w:lang w:val="en-US" w:eastAsia="en-US"/>
            </w:rPr>
            <m:t>×</m:t>
          </m:r>
          <m:d>
            <m:dPr>
              <m:ctrlPr>
                <w:rPr>
                  <w:rFonts w:ascii="Cambria Math" w:eastAsiaTheme="minorHAnsi" w:hAnsi="Cambria Math"/>
                  <w:i/>
                  <w:sz w:val="24"/>
                  <w:szCs w:val="24"/>
                  <w:lang w:val="en-US" w:eastAsia="en-US"/>
                </w:rPr>
              </m:ctrlPr>
            </m:dPr>
            <m:e>
              <m:sSub>
                <m:sSubPr>
                  <m:ctrlPr>
                    <w:rPr>
                      <w:rFonts w:ascii="Cambria Math" w:eastAsiaTheme="minorHAnsi" w:hAnsi="Cambria Math"/>
                      <w:i/>
                      <w:sz w:val="24"/>
                      <w:szCs w:val="24"/>
                      <w:lang w:val="en-US" w:eastAsia="en-US"/>
                    </w:rPr>
                  </m:ctrlPr>
                </m:sSubPr>
                <m:e>
                  <m:r>
                    <w:rPr>
                      <w:rFonts w:ascii="Cambria Math" w:eastAsiaTheme="minorHAnsi" w:hAnsi="Cambria Math"/>
                      <w:sz w:val="24"/>
                      <w:szCs w:val="24"/>
                      <w:lang w:val="en-US" w:eastAsia="en-US"/>
                    </w:rPr>
                    <m:t>T</m:t>
                  </m:r>
                </m:e>
                <m:sub>
                  <m:r>
                    <w:rPr>
                      <w:rFonts w:ascii="Cambria Math" w:eastAsiaTheme="minorHAnsi" w:hAnsi="Cambria Math"/>
                      <w:sz w:val="24"/>
                      <w:szCs w:val="24"/>
                      <w:lang w:val="en-US" w:eastAsia="en-US"/>
                    </w:rPr>
                    <m:t>1</m:t>
                  </m:r>
                </m:sub>
              </m:sSub>
              <m:r>
                <w:rPr>
                  <w:rFonts w:ascii="Cambria Math" w:eastAsiaTheme="minorHAnsi" w:hAnsi="Cambria Math"/>
                  <w:sz w:val="24"/>
                  <w:szCs w:val="24"/>
                  <w:lang w:val="en-US" w:eastAsia="en-US"/>
                </w:rPr>
                <m:t>-</m:t>
              </m:r>
              <m:sSub>
                <m:sSubPr>
                  <m:ctrlPr>
                    <w:rPr>
                      <w:rFonts w:ascii="Cambria Math" w:eastAsiaTheme="minorHAnsi" w:hAnsi="Cambria Math"/>
                      <w:i/>
                      <w:sz w:val="24"/>
                      <w:szCs w:val="24"/>
                      <w:lang w:val="en-US" w:eastAsia="en-US"/>
                    </w:rPr>
                  </m:ctrlPr>
                </m:sSubPr>
                <m:e>
                  <m:r>
                    <w:rPr>
                      <w:rFonts w:ascii="Cambria Math" w:eastAsiaTheme="minorHAnsi" w:hAnsi="Cambria Math"/>
                      <w:sz w:val="24"/>
                      <w:szCs w:val="24"/>
                      <w:lang w:val="en-US" w:eastAsia="en-US"/>
                    </w:rPr>
                    <m:t>T</m:t>
                  </m:r>
                </m:e>
                <m:sub>
                  <m:r>
                    <w:rPr>
                      <w:rFonts w:ascii="Cambria Math" w:eastAsiaTheme="minorHAnsi" w:hAnsi="Cambria Math"/>
                      <w:sz w:val="24"/>
                      <w:szCs w:val="24"/>
                      <w:lang w:val="en-US" w:eastAsia="en-US"/>
                    </w:rPr>
                    <m:t>0</m:t>
                  </m:r>
                </m:sub>
              </m:sSub>
            </m:e>
          </m:d>
        </m:oMath>
      </m:oMathPara>
    </w:p>
    <w:p w14:paraId="5D003788" w14:textId="77777777" w:rsidR="000C1E0E" w:rsidRDefault="000C1E0E" w:rsidP="000C1E0E">
      <w:pPr>
        <w:spacing w:line="360" w:lineRule="auto"/>
        <w:rPr>
          <w:rFonts w:ascii="Times New Roman" w:hAnsi="Times New Roman"/>
          <w:sz w:val="24"/>
          <w:szCs w:val="24"/>
          <w:lang w:eastAsia="en-US"/>
        </w:rPr>
      </w:pPr>
      <w:r>
        <w:rPr>
          <w:rFonts w:ascii="Times New Roman" w:hAnsi="Times New Roman"/>
          <w:sz w:val="24"/>
          <w:szCs w:val="24"/>
          <w:lang w:eastAsia="en-US"/>
        </w:rPr>
        <w:t>где:</w:t>
      </w:r>
      <w:r>
        <w:rPr>
          <w:rFonts w:ascii="Times New Roman" w:hAnsi="Times New Roman"/>
          <w:sz w:val="24"/>
          <w:szCs w:val="24"/>
          <w:lang w:eastAsia="en-US"/>
        </w:rPr>
        <w:br/>
        <w:t xml:space="preserve">где </w:t>
      </w:r>
      <m:oMath>
        <m:d>
          <m:dPr>
            <m:ctrlPr>
              <w:rPr>
                <w:rFonts w:ascii="Cambria Math" w:hAnsi="Cambria Math"/>
                <w:sz w:val="24"/>
                <w:szCs w:val="24"/>
                <w:lang w:eastAsia="en-US"/>
              </w:rPr>
            </m:ctrlPr>
          </m:dPr>
          <m:e>
            <m:sSub>
              <m:sSubPr>
                <m:ctrlPr>
                  <w:rPr>
                    <w:rFonts w:ascii="Cambria Math" w:hAnsi="Cambria Math"/>
                    <w:sz w:val="24"/>
                    <w:szCs w:val="24"/>
                    <w:lang w:eastAsia="en-US"/>
                  </w:rPr>
                </m:ctrlPr>
              </m:sSubPr>
              <m:e>
                <m:r>
                  <m:rPr>
                    <m:sty m:val="p"/>
                  </m:rPr>
                  <w:rPr>
                    <w:rFonts w:ascii="Cambria Math" w:hAnsi="Times New Roman"/>
                    <w:sz w:val="24"/>
                    <w:szCs w:val="24"/>
                    <w:lang w:eastAsia="en-US"/>
                  </w:rPr>
                  <m:t>T</m:t>
                </m:r>
              </m:e>
              <m:sub>
                <m:r>
                  <m:rPr>
                    <m:sty m:val="p"/>
                  </m:rPr>
                  <w:rPr>
                    <w:rFonts w:ascii="Cambria Math" w:hAnsi="Times New Roman"/>
                    <w:sz w:val="24"/>
                    <w:szCs w:val="24"/>
                    <w:lang w:eastAsia="en-US"/>
                  </w:rPr>
                  <m:t>1</m:t>
                </m:r>
              </m:sub>
            </m:sSub>
            <m:r>
              <m:rPr>
                <m:sty m:val="p"/>
              </m:rPr>
              <w:rPr>
                <w:rFonts w:ascii="Cambria Math" w:hAnsi="Cambria Math"/>
                <w:sz w:val="24"/>
                <w:szCs w:val="24"/>
                <w:lang w:eastAsia="en-US"/>
              </w:rPr>
              <m:t>-</m:t>
            </m:r>
            <m:sSub>
              <m:sSubPr>
                <m:ctrlPr>
                  <w:rPr>
                    <w:rFonts w:ascii="Cambria Math" w:hAnsi="Cambria Math"/>
                    <w:sz w:val="24"/>
                    <w:szCs w:val="24"/>
                    <w:lang w:eastAsia="en-US"/>
                  </w:rPr>
                </m:ctrlPr>
              </m:sSubPr>
              <m:e>
                <m:r>
                  <m:rPr>
                    <m:sty m:val="p"/>
                  </m:rPr>
                  <w:rPr>
                    <w:rFonts w:ascii="Cambria Math" w:hAnsi="Times New Roman"/>
                    <w:sz w:val="24"/>
                    <w:szCs w:val="24"/>
                    <w:lang w:eastAsia="en-US"/>
                  </w:rPr>
                  <m:t>T</m:t>
                </m:r>
              </m:e>
              <m:sub>
                <m:r>
                  <m:rPr>
                    <m:sty m:val="p"/>
                  </m:rPr>
                  <w:rPr>
                    <w:rFonts w:ascii="Cambria Math" w:hAnsi="Times New Roman"/>
                    <w:sz w:val="24"/>
                    <w:szCs w:val="24"/>
                    <w:lang w:eastAsia="en-US"/>
                  </w:rPr>
                  <m:t>0</m:t>
                </m:r>
              </m:sub>
            </m:sSub>
          </m:e>
        </m:d>
      </m:oMath>
      <w:r>
        <w:rPr>
          <w:rFonts w:ascii="Times New Roman" w:hAnsi="Times New Roman"/>
          <w:sz w:val="24"/>
          <w:szCs w:val="24"/>
          <w:lang w:eastAsia="en-US"/>
        </w:rPr>
        <w:t xml:space="preserve"> - количество календарных дней между указанными датами.</w:t>
      </w:r>
    </w:p>
    <w:p w14:paraId="6C5F4C0C" w14:textId="77777777" w:rsidR="000C1E0E" w:rsidRDefault="00C84628"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T</m:t>
            </m:r>
          </m:e>
          <m:sub>
            <m:r>
              <m:rPr>
                <m:sty m:val="p"/>
              </m:rPr>
              <w:rPr>
                <w:rFonts w:ascii="Cambria Math" w:hAnsi="Times New Roman"/>
                <w:sz w:val="24"/>
                <w:szCs w:val="24"/>
                <w:lang w:eastAsia="en-US"/>
              </w:rPr>
              <m:t>1</m:t>
            </m:r>
          </m:sub>
        </m:sSub>
      </m:oMath>
      <w:r w:rsidR="000C1E0E">
        <w:rPr>
          <w:rFonts w:ascii="Times New Roman" w:hAnsi="Times New Roman"/>
          <w:sz w:val="24"/>
          <w:szCs w:val="24"/>
          <w:lang w:eastAsia="en-US"/>
        </w:rPr>
        <w:t xml:space="preserve"> –дата определения справедливой стоимости;</w:t>
      </w:r>
    </w:p>
    <w:p w14:paraId="1EF55AED" w14:textId="77777777" w:rsidR="000C1E0E" w:rsidRDefault="00C84628"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T</m:t>
            </m:r>
          </m:e>
          <m:sub>
            <m:r>
              <m:rPr>
                <m:sty m:val="p"/>
              </m:rPr>
              <w:rPr>
                <w:rFonts w:ascii="Cambria Math" w:hAnsi="Times New Roman"/>
                <w:sz w:val="24"/>
                <w:szCs w:val="24"/>
                <w:lang w:eastAsia="en-US"/>
              </w:rPr>
              <m:t>0</m:t>
            </m:r>
          </m:sub>
        </m:sSub>
      </m:oMath>
      <w:r w:rsidR="000C1E0E">
        <w:rPr>
          <w:rFonts w:ascii="Times New Roman" w:hAnsi="Times New Roman"/>
          <w:sz w:val="24"/>
          <w:szCs w:val="24"/>
          <w:lang w:eastAsia="en-US"/>
        </w:rPr>
        <w:t xml:space="preserve"> – предыдущая дата определения справедливой стоимости.</w:t>
      </w:r>
    </w:p>
    <w:p w14:paraId="45AE0599" w14:textId="77777777" w:rsidR="000C1E0E" w:rsidRDefault="000C1E0E" w:rsidP="000C1E0E">
      <w:pPr>
        <w:spacing w:line="276" w:lineRule="auto"/>
        <w:ind w:firstLine="708"/>
        <w:rPr>
          <w:rFonts w:ascii="Times New Roman" w:hAnsi="Times New Roman"/>
          <w:sz w:val="24"/>
          <w:szCs w:val="24"/>
          <w:lang w:eastAsia="en-US"/>
        </w:rPr>
      </w:pPr>
      <w:r>
        <w:rPr>
          <w:rFonts w:ascii="Times New Roman" w:hAnsi="Times New Roman"/>
          <w:sz w:val="24"/>
          <w:szCs w:val="24"/>
          <w:lang w:eastAsia="en-US"/>
        </w:rPr>
        <w:t>Для облигаций российских эмитентов, торгуемых на Московской Бирже, безрисковая ставка доходности – ставка, определенная в</w:t>
      </w:r>
      <w:r>
        <w:rPr>
          <w:rFonts w:ascii="Cambria Math" w:hAnsi="Cambria Math"/>
          <w:sz w:val="20"/>
          <w:lang w:eastAsia="en-US"/>
        </w:rPr>
        <w:t xml:space="preserve"> </w:t>
      </w:r>
      <w:r>
        <w:rPr>
          <w:rFonts w:ascii="Times New Roman" w:hAnsi="Times New Roman"/>
          <w:sz w:val="24"/>
          <w:szCs w:val="24"/>
          <w:lang w:eastAsia="en-US"/>
        </w:rPr>
        <w:t>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40198DB5" w14:textId="77777777" w:rsidR="000C1E0E" w:rsidRDefault="000C1E0E" w:rsidP="000C1E0E">
      <w:pPr>
        <w:numPr>
          <w:ilvl w:val="0"/>
          <w:numId w:val="12"/>
        </w:numPr>
        <w:spacing w:after="200" w:line="276" w:lineRule="auto"/>
        <w:contextualSpacing/>
        <w:rPr>
          <w:rFonts w:ascii="Times New Roman" w:hAnsi="Times New Roman"/>
          <w:sz w:val="24"/>
          <w:szCs w:val="24"/>
          <w:lang w:eastAsia="en-US"/>
        </w:rPr>
      </w:pPr>
      <w:r>
        <w:rPr>
          <w:rFonts w:ascii="Times New Roman" w:hAnsi="Times New Roman"/>
          <w:sz w:val="24"/>
          <w:szCs w:val="24"/>
          <w:lang w:eastAsia="en-US"/>
        </w:rPr>
        <w:t>методика расчёта кривой бескупонной доходности государственных облигаций, определенная Московской биржей;</w:t>
      </w:r>
    </w:p>
    <w:p w14:paraId="2F5E2B67" w14:textId="77777777" w:rsidR="000C1E0E" w:rsidRDefault="000C1E0E" w:rsidP="000C1E0E">
      <w:pPr>
        <w:numPr>
          <w:ilvl w:val="0"/>
          <w:numId w:val="12"/>
        </w:numPr>
        <w:spacing w:after="200" w:line="276" w:lineRule="auto"/>
        <w:contextualSpacing/>
        <w:rPr>
          <w:rFonts w:ascii="Times New Roman" w:hAnsi="Times New Roman"/>
          <w:sz w:val="24"/>
          <w:szCs w:val="24"/>
          <w:lang w:eastAsia="en-US"/>
        </w:rPr>
      </w:pPr>
      <w:r>
        <w:rPr>
          <w:rFonts w:ascii="Times New Roman" w:hAnsi="Times New Roman"/>
          <w:sz w:val="24"/>
          <w:szCs w:val="24"/>
          <w:lang w:eastAsia="en-US"/>
        </w:rPr>
        <w:t>динамические параметры G-кривой по состоянию на каждый торговый день, публикуемые на официальном сайте Московской биржи.</w:t>
      </w:r>
    </w:p>
    <w:p w14:paraId="4AB3CF4E" w14:textId="77777777" w:rsidR="000C1E0E" w:rsidRDefault="000C1E0E" w:rsidP="000C1E0E">
      <w:pPr>
        <w:spacing w:line="360" w:lineRule="auto"/>
        <w:rPr>
          <w:rFonts w:ascii="Times New Roman" w:hAnsi="Times New Roman"/>
          <w:sz w:val="24"/>
          <w:szCs w:val="24"/>
          <w:lang w:eastAsia="en-US"/>
        </w:rPr>
      </w:pPr>
      <w:r>
        <w:rPr>
          <w:rFonts w:ascii="Times New Roman" w:hAnsi="Times New Roman"/>
          <w:sz w:val="24"/>
          <w:szCs w:val="24"/>
          <w:lang w:eastAsia="en-US"/>
        </w:rPr>
        <w:t>Ставка КБД рассчитывается без промежуточных округлений с точностью до 2 знаков после запятой (в процентном выражении).</w:t>
      </w:r>
      <w:r>
        <w:rPr>
          <w:rFonts w:ascii="Times New Roman" w:hAnsi="Times New Roman"/>
          <w:sz w:val="24"/>
          <w:szCs w:val="24"/>
          <w:lang w:eastAsia="en-US"/>
        </w:rPr>
        <w:br/>
      </w:r>
    </w:p>
    <w:p w14:paraId="6F24C8B6" w14:textId="77777777" w:rsidR="000C1E0E" w:rsidRDefault="000C1E0E" w:rsidP="000C1E0E">
      <w:pPr>
        <w:spacing w:line="360" w:lineRule="auto"/>
        <w:rPr>
          <w:rFonts w:ascii="Times New Roman" w:hAnsi="Times New Roman"/>
          <w:sz w:val="24"/>
          <w:szCs w:val="24"/>
          <w:lang w:eastAsia="en-US"/>
        </w:rPr>
      </w:pPr>
      <w:r>
        <w:rPr>
          <w:rFonts w:ascii="Times New Roman" w:hAnsi="Times New Roman"/>
          <w:sz w:val="24"/>
          <w:szCs w:val="24"/>
          <w:lang w:eastAsia="en-US"/>
        </w:rPr>
        <w:t>Бета коэффициент - β</w:t>
      </w:r>
    </w:p>
    <w:p w14:paraId="7134E51A" w14:textId="77777777" w:rsidR="000C1E0E" w:rsidRDefault="000C1E0E" w:rsidP="000C1E0E">
      <w:pPr>
        <w:spacing w:line="360" w:lineRule="auto"/>
        <w:rPr>
          <w:rFonts w:ascii="Times New Roman" w:hAnsi="Times New Roman"/>
          <w:sz w:val="24"/>
          <w:szCs w:val="24"/>
          <w:lang w:eastAsia="en-US"/>
        </w:rPr>
      </w:pPr>
      <m:oMathPara>
        <m:oMath>
          <m:r>
            <m:rPr>
              <m:sty m:val="p"/>
            </m:rPr>
            <w:rPr>
              <w:rFonts w:ascii="Cambria Math" w:hAnsi="Cambria Math"/>
              <w:sz w:val="24"/>
              <w:szCs w:val="24"/>
              <w:lang w:eastAsia="en-US"/>
            </w:rPr>
            <m:t>β</m:t>
          </m:r>
          <m:r>
            <m:rPr>
              <m:sty m:val="p"/>
            </m:rPr>
            <w:rPr>
              <w:rFonts w:ascii="Cambria Math" w:hAnsi="Times New Roman"/>
              <w:sz w:val="24"/>
              <w:szCs w:val="24"/>
              <w:lang w:eastAsia="en-US"/>
            </w:rPr>
            <m:t>=</m:t>
          </m:r>
          <m:f>
            <m:fPr>
              <m:ctrlPr>
                <w:rPr>
                  <w:rFonts w:ascii="Cambria Math" w:hAnsi="Cambria Math"/>
                  <w:sz w:val="24"/>
                  <w:szCs w:val="24"/>
                  <w:lang w:eastAsia="en-US"/>
                </w:rPr>
              </m:ctrlPr>
            </m:fPr>
            <m:num>
              <m:r>
                <m:rPr>
                  <m:sty m:val="p"/>
                </m:rPr>
                <w:rPr>
                  <w:rFonts w:ascii="Cambria Math" w:hAnsi="Times New Roman"/>
                  <w:sz w:val="24"/>
                  <w:szCs w:val="24"/>
                  <w:lang w:eastAsia="en-US"/>
                </w:rPr>
                <m:t xml:space="preserve">Covariance </m:t>
              </m:r>
              <m:d>
                <m:dPr>
                  <m:ctrlPr>
                    <w:rPr>
                      <w:rFonts w:ascii="Cambria Math" w:hAnsi="Cambria Math"/>
                      <w:sz w:val="24"/>
                      <w:szCs w:val="24"/>
                      <w:lang w:eastAsia="en-US"/>
                    </w:rPr>
                  </m:ctrlPr>
                </m:dPr>
                <m:e>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a</m:t>
                      </m:r>
                    </m:sub>
                  </m:sSub>
                  <m:r>
                    <m:rPr>
                      <m:sty m:val="p"/>
                    </m:rPr>
                    <w:rPr>
                      <w:rFonts w:ascii="Cambria Math" w:hAnsi="Times New Roman"/>
                      <w:sz w:val="24"/>
                      <w:szCs w:val="24"/>
                      <w:lang w:eastAsia="en-US"/>
                    </w:rPr>
                    <m:t xml:space="preserve">, </m:t>
                  </m:r>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m</m:t>
                      </m:r>
                    </m:sub>
                  </m:sSub>
                </m:e>
              </m:d>
            </m:num>
            <m:den>
              <m:r>
                <m:rPr>
                  <m:sty m:val="p"/>
                </m:rPr>
                <w:rPr>
                  <w:rFonts w:ascii="Cambria Math" w:hAnsi="Times New Roman"/>
                  <w:sz w:val="24"/>
                  <w:szCs w:val="24"/>
                  <w:lang w:eastAsia="en-US"/>
                </w:rPr>
                <m:t xml:space="preserve">Variance </m:t>
              </m:r>
              <m:d>
                <m:dPr>
                  <m:ctrlPr>
                    <w:rPr>
                      <w:rFonts w:ascii="Cambria Math" w:hAnsi="Cambria Math"/>
                      <w:sz w:val="24"/>
                      <w:szCs w:val="24"/>
                      <w:lang w:eastAsia="en-US"/>
                    </w:rPr>
                  </m:ctrlPr>
                </m:dPr>
                <m:e>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m</m:t>
                      </m:r>
                    </m:sub>
                  </m:sSub>
                </m:e>
              </m:d>
            </m:den>
          </m:f>
        </m:oMath>
      </m:oMathPara>
    </w:p>
    <w:p w14:paraId="1546015F" w14:textId="77777777" w:rsidR="000C1E0E" w:rsidRDefault="000C1E0E" w:rsidP="000C1E0E">
      <w:pPr>
        <w:spacing w:line="360" w:lineRule="auto"/>
        <w:rPr>
          <w:rFonts w:ascii="Times New Roman" w:hAnsi="Times New Roman"/>
          <w:sz w:val="24"/>
          <w:szCs w:val="24"/>
          <w:lang w:eastAsia="en-US"/>
        </w:rPr>
      </w:pPr>
    </w:p>
    <w:p w14:paraId="39AF54C8" w14:textId="77777777" w:rsidR="000C1E0E" w:rsidRDefault="00C84628" w:rsidP="000C1E0E">
      <w:pPr>
        <w:spacing w:line="360" w:lineRule="auto"/>
        <w:rPr>
          <w:rFonts w:ascii="Times New Roman" w:hAnsi="Times New Roman"/>
          <w:sz w:val="24"/>
          <w:szCs w:val="24"/>
          <w:lang w:eastAsia="en-US"/>
        </w:rPr>
      </w:pPr>
      <m:oMathPara>
        <m:oMath>
          <m:sSub>
            <m:sSubPr>
              <m:ctrlPr>
                <w:rPr>
                  <w:rFonts w:ascii="Cambria Math" w:hAnsi="Cambria Math"/>
                  <w:sz w:val="24"/>
                  <w:szCs w:val="24"/>
                  <w:lang w:eastAsia="en-US"/>
                </w:rPr>
              </m:ctrlPr>
            </m:sSubPr>
            <m:e>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a</m:t>
                  </m:r>
                </m:sub>
              </m:sSub>
              <m:r>
                <m:rPr>
                  <m:sty m:val="p"/>
                </m:rPr>
                <w:rPr>
                  <w:rFonts w:ascii="Cambria Math" w:hAnsi="Times New Roman"/>
                  <w:sz w:val="24"/>
                  <w:szCs w:val="24"/>
                  <w:lang w:eastAsia="en-US"/>
                </w:rPr>
                <m:t>=</m:t>
              </m:r>
              <m:f>
                <m:fPr>
                  <m:ctrlPr>
                    <w:rPr>
                      <w:rFonts w:ascii="Cambria Math" w:hAnsi="Cambria Math"/>
                      <w:sz w:val="24"/>
                      <w:szCs w:val="24"/>
                      <w:lang w:eastAsia="en-US"/>
                    </w:rPr>
                  </m:ctrlPr>
                </m:fPr>
                <m:num>
                  <m:sSub>
                    <m:sSubPr>
                      <m:ctrlPr>
                        <w:rPr>
                          <w:rFonts w:ascii="Cambria Math" w:hAnsi="Cambria Math"/>
                          <w:sz w:val="24"/>
                          <w:szCs w:val="24"/>
                          <w:lang w:eastAsia="en-US"/>
                        </w:rPr>
                      </m:ctrlPr>
                    </m:sSubPr>
                    <m:e>
                      <m:r>
                        <m:rPr>
                          <m:sty m:val="p"/>
                        </m:rPr>
                        <w:rPr>
                          <w:rFonts w:ascii="Cambria Math" w:hAnsi="Times New Roman"/>
                          <w:sz w:val="24"/>
                          <w:szCs w:val="24"/>
                          <w:lang w:eastAsia="en-US"/>
                        </w:rPr>
                        <m:t>Pa</m:t>
                      </m:r>
                    </m:e>
                    <m:sub>
                      <m:r>
                        <m:rPr>
                          <m:sty m:val="p"/>
                        </m:rPr>
                        <w:rPr>
                          <w:rFonts w:ascii="Cambria Math" w:hAnsi="Times New Roman"/>
                          <w:sz w:val="24"/>
                          <w:szCs w:val="24"/>
                          <w:lang w:eastAsia="en-US"/>
                        </w:rPr>
                        <m:t>i</m:t>
                      </m:r>
                    </m:sub>
                  </m:sSub>
                </m:num>
                <m:den>
                  <m:sSub>
                    <m:sSubPr>
                      <m:ctrlPr>
                        <w:rPr>
                          <w:rFonts w:ascii="Cambria Math" w:hAnsi="Cambria Math"/>
                          <w:sz w:val="24"/>
                          <w:szCs w:val="24"/>
                          <w:lang w:eastAsia="en-US"/>
                        </w:rPr>
                      </m:ctrlPr>
                    </m:sSubPr>
                    <m:e>
                      <m:r>
                        <m:rPr>
                          <m:sty m:val="p"/>
                        </m:rPr>
                        <w:rPr>
                          <w:rFonts w:ascii="Cambria Math" w:hAnsi="Times New Roman"/>
                          <w:sz w:val="24"/>
                          <w:szCs w:val="24"/>
                          <w:lang w:eastAsia="en-US"/>
                        </w:rPr>
                        <m:t>Pa</m:t>
                      </m:r>
                    </m:e>
                    <m:sub>
                      <m:r>
                        <m:rPr>
                          <m:sty m:val="p"/>
                        </m:rPr>
                        <w:rPr>
                          <w:rFonts w:ascii="Cambria Math" w:hAnsi="Times New Roman"/>
                          <w:sz w:val="24"/>
                          <w:szCs w:val="24"/>
                          <w:lang w:eastAsia="en-US"/>
                        </w:rPr>
                        <m:t>i</m:t>
                      </m:r>
                      <m:r>
                        <m:rPr>
                          <m:sty m:val="p"/>
                        </m:rPr>
                        <w:rPr>
                          <w:rFonts w:ascii="Cambria Math" w:hAnsi="Cambria Math"/>
                          <w:sz w:val="24"/>
                          <w:szCs w:val="24"/>
                          <w:lang w:eastAsia="en-US"/>
                        </w:rPr>
                        <m:t>-</m:t>
                      </m:r>
                      <m:r>
                        <m:rPr>
                          <m:sty m:val="p"/>
                        </m:rPr>
                        <w:rPr>
                          <w:rFonts w:ascii="Cambria Math" w:hAnsi="Times New Roman"/>
                          <w:sz w:val="24"/>
                          <w:szCs w:val="24"/>
                          <w:lang w:eastAsia="en-US"/>
                        </w:rPr>
                        <m:t>1</m:t>
                      </m:r>
                    </m:sub>
                  </m:sSub>
                </m:den>
              </m:f>
              <m:r>
                <m:rPr>
                  <m:sty m:val="p"/>
                </m:rPr>
                <w:rPr>
                  <w:rFonts w:ascii="Cambria Math" w:hAnsi="Cambria Math"/>
                  <w:sz w:val="24"/>
                  <w:szCs w:val="24"/>
                  <w:lang w:eastAsia="en-US"/>
                </w:rPr>
                <m:t>-</m:t>
              </m:r>
              <m:r>
                <m:rPr>
                  <m:sty m:val="p"/>
                </m:rPr>
                <w:rPr>
                  <w:rFonts w:ascii="Cambria Math" w:hAnsi="Times New Roman"/>
                  <w:sz w:val="24"/>
                  <w:szCs w:val="24"/>
                  <w:lang w:eastAsia="en-US"/>
                </w:rPr>
                <m:t>1,  R</m:t>
              </m:r>
            </m:e>
            <m:sub>
              <m:r>
                <m:rPr>
                  <m:sty m:val="p"/>
                </m:rPr>
                <w:rPr>
                  <w:rFonts w:ascii="Cambria Math" w:hAnsi="Times New Roman"/>
                  <w:sz w:val="24"/>
                  <w:szCs w:val="24"/>
                  <w:lang w:eastAsia="en-US"/>
                </w:rPr>
                <m:t>m</m:t>
              </m:r>
            </m:sub>
          </m:sSub>
          <m:r>
            <m:rPr>
              <m:sty m:val="p"/>
            </m:rPr>
            <w:rPr>
              <w:rFonts w:ascii="Cambria Math" w:hAnsi="Times New Roman"/>
              <w:sz w:val="24"/>
              <w:szCs w:val="24"/>
              <w:lang w:eastAsia="en-US"/>
            </w:rPr>
            <m:t>=</m:t>
          </m:r>
          <m:f>
            <m:fPr>
              <m:ctrlPr>
                <w:rPr>
                  <w:rFonts w:ascii="Cambria Math" w:hAnsi="Cambria Math"/>
                  <w:sz w:val="24"/>
                  <w:szCs w:val="24"/>
                  <w:lang w:eastAsia="en-US"/>
                </w:rPr>
              </m:ctrlPr>
            </m:fPr>
            <m:num>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i</m:t>
                  </m:r>
                </m:sub>
              </m:sSub>
            </m:num>
            <m:den>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i</m:t>
                  </m:r>
                  <m:r>
                    <m:rPr>
                      <m:sty m:val="p"/>
                    </m:rPr>
                    <w:rPr>
                      <w:rFonts w:ascii="Cambria Math" w:hAnsi="Cambria Math"/>
                      <w:sz w:val="24"/>
                      <w:szCs w:val="24"/>
                      <w:lang w:eastAsia="en-US"/>
                    </w:rPr>
                    <m:t>-</m:t>
                  </m:r>
                  <m:r>
                    <m:rPr>
                      <m:sty m:val="p"/>
                    </m:rPr>
                    <w:rPr>
                      <w:rFonts w:ascii="Cambria Math" w:hAnsi="Times New Roman"/>
                      <w:sz w:val="24"/>
                      <w:szCs w:val="24"/>
                      <w:lang w:eastAsia="en-US"/>
                    </w:rPr>
                    <m:t>1</m:t>
                  </m:r>
                </m:sub>
              </m:sSub>
            </m:den>
          </m:f>
          <m:r>
            <m:rPr>
              <m:sty m:val="p"/>
            </m:rPr>
            <w:rPr>
              <w:rFonts w:ascii="Cambria Math" w:hAnsi="Cambria Math"/>
              <w:sz w:val="24"/>
              <w:szCs w:val="24"/>
              <w:lang w:eastAsia="en-US"/>
            </w:rPr>
            <m:t>-</m:t>
          </m:r>
          <m:r>
            <m:rPr>
              <m:sty m:val="p"/>
            </m:rPr>
            <w:rPr>
              <w:rFonts w:ascii="Cambria Math" w:hAnsi="Times New Roman"/>
              <w:sz w:val="24"/>
              <w:szCs w:val="24"/>
              <w:lang w:eastAsia="en-US"/>
            </w:rPr>
            <m:t xml:space="preserve">1 </m:t>
          </m:r>
        </m:oMath>
      </m:oMathPara>
    </w:p>
    <w:p w14:paraId="16544A23" w14:textId="77777777" w:rsidR="000C1E0E" w:rsidRDefault="000C1E0E" w:rsidP="000C1E0E">
      <w:pPr>
        <w:spacing w:line="360" w:lineRule="auto"/>
        <w:rPr>
          <w:rFonts w:ascii="Times New Roman" w:hAnsi="Times New Roman"/>
          <w:sz w:val="24"/>
          <w:szCs w:val="24"/>
          <w:lang w:eastAsia="en-US"/>
        </w:rPr>
      </w:pPr>
    </w:p>
    <w:p w14:paraId="3AACCD26" w14:textId="77777777" w:rsidR="000C1E0E" w:rsidRDefault="00C84628"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a</m:t>
            </m:r>
          </m:sub>
        </m:sSub>
      </m:oMath>
      <w:r w:rsidR="000C1E0E">
        <w:rPr>
          <w:rFonts w:ascii="Times New Roman" w:hAnsi="Times New Roman"/>
          <w:sz w:val="24"/>
          <w:szCs w:val="24"/>
          <w:lang w:eastAsia="en-US"/>
        </w:rPr>
        <w:t xml:space="preserve"> - доходность актива;</w:t>
      </w:r>
    </w:p>
    <w:p w14:paraId="1246F9A2" w14:textId="77777777" w:rsidR="000C1E0E" w:rsidRDefault="00C84628"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Pa</m:t>
            </m:r>
          </m:e>
          <m:sub>
            <m:r>
              <m:rPr>
                <m:sty m:val="p"/>
              </m:rPr>
              <w:rPr>
                <w:rFonts w:ascii="Cambria Math" w:hAnsi="Times New Roman"/>
                <w:sz w:val="24"/>
                <w:szCs w:val="24"/>
                <w:lang w:eastAsia="en-US"/>
              </w:rPr>
              <m:t>i</m:t>
            </m:r>
          </m:sub>
        </m:sSub>
      </m:oMath>
      <w:r w:rsidR="000C1E0E">
        <w:rPr>
          <w:rFonts w:ascii="Times New Roman" w:hAnsi="Times New Roman"/>
          <w:sz w:val="24"/>
          <w:szCs w:val="24"/>
          <w:lang w:eastAsia="en-US"/>
        </w:rPr>
        <w:t xml:space="preserve"> – цена закрытия актива на дату </w:t>
      </w:r>
      <m:oMath>
        <m:r>
          <m:rPr>
            <m:sty m:val="p"/>
          </m:rPr>
          <w:rPr>
            <w:rFonts w:ascii="Cambria Math" w:hAnsi="Times New Roman"/>
            <w:sz w:val="24"/>
            <w:szCs w:val="24"/>
            <w:lang w:eastAsia="en-US"/>
          </w:rPr>
          <m:t>i</m:t>
        </m:r>
      </m:oMath>
      <w:r w:rsidR="000C1E0E">
        <w:rPr>
          <w:rFonts w:ascii="Times New Roman" w:hAnsi="Times New Roman"/>
          <w:sz w:val="24"/>
          <w:szCs w:val="24"/>
          <w:lang w:eastAsia="en-US"/>
        </w:rPr>
        <w:t>;</w:t>
      </w:r>
    </w:p>
    <w:p w14:paraId="47E372A0" w14:textId="77777777" w:rsidR="000C1E0E" w:rsidRDefault="00C84628"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Pa</m:t>
            </m:r>
          </m:e>
          <m:sub>
            <m:r>
              <m:rPr>
                <m:sty m:val="p"/>
              </m:rPr>
              <w:rPr>
                <w:rFonts w:ascii="Cambria Math" w:hAnsi="Times New Roman"/>
                <w:sz w:val="24"/>
                <w:szCs w:val="24"/>
                <w:lang w:eastAsia="en-US"/>
              </w:rPr>
              <m:t>i</m:t>
            </m:r>
            <m:r>
              <m:rPr>
                <m:sty m:val="p"/>
              </m:rPr>
              <w:rPr>
                <w:rFonts w:ascii="Cambria Math" w:hAnsi="Cambria Math"/>
                <w:sz w:val="24"/>
                <w:szCs w:val="24"/>
                <w:lang w:eastAsia="en-US"/>
              </w:rPr>
              <m:t>-</m:t>
            </m:r>
            <m:r>
              <m:rPr>
                <m:sty m:val="p"/>
              </m:rPr>
              <w:rPr>
                <w:rFonts w:ascii="Cambria Math" w:hAnsi="Times New Roman"/>
                <w:sz w:val="24"/>
                <w:szCs w:val="24"/>
                <w:lang w:eastAsia="en-US"/>
              </w:rPr>
              <m:t>1</m:t>
            </m:r>
          </m:sub>
        </m:sSub>
      </m:oMath>
      <w:r w:rsidR="000C1E0E">
        <w:rPr>
          <w:rFonts w:ascii="Times New Roman" w:hAnsi="Times New Roman"/>
          <w:sz w:val="24"/>
          <w:szCs w:val="24"/>
          <w:lang w:eastAsia="en-US"/>
        </w:rPr>
        <w:t xml:space="preserve"> – предыдущая цена закрытия актива;</w:t>
      </w:r>
    </w:p>
    <w:p w14:paraId="7BB1357E" w14:textId="77777777" w:rsidR="000C1E0E" w:rsidRDefault="00C84628"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m</m:t>
            </m:r>
          </m:sub>
        </m:sSub>
      </m:oMath>
      <w:r w:rsidR="000C1E0E">
        <w:rPr>
          <w:rFonts w:ascii="Times New Roman" w:hAnsi="Times New Roman"/>
          <w:sz w:val="24"/>
          <w:szCs w:val="24"/>
          <w:lang w:eastAsia="en-US"/>
        </w:rPr>
        <w:t xml:space="preserve"> - доходность рыночного индикатора;</w:t>
      </w:r>
    </w:p>
    <w:p w14:paraId="585E2D04" w14:textId="77777777" w:rsidR="000C1E0E" w:rsidRDefault="00C84628"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i</m:t>
            </m:r>
          </m:sub>
        </m:sSub>
      </m:oMath>
      <w:r w:rsidR="000C1E0E">
        <w:rPr>
          <w:rFonts w:ascii="Times New Roman" w:hAnsi="Times New Roman"/>
          <w:sz w:val="24"/>
          <w:szCs w:val="24"/>
          <w:lang w:eastAsia="en-US"/>
        </w:rPr>
        <w:t xml:space="preserve"> – значение рыночного индикатора на дату </w:t>
      </w:r>
      <m:oMath>
        <m:r>
          <m:rPr>
            <m:sty m:val="p"/>
          </m:rPr>
          <w:rPr>
            <w:rFonts w:ascii="Cambria Math" w:hAnsi="Times New Roman"/>
            <w:sz w:val="24"/>
            <w:szCs w:val="24"/>
            <w:lang w:eastAsia="en-US"/>
          </w:rPr>
          <m:t>i</m:t>
        </m:r>
      </m:oMath>
      <w:r w:rsidR="000C1E0E">
        <w:rPr>
          <w:rFonts w:ascii="Times New Roman" w:hAnsi="Times New Roman"/>
          <w:sz w:val="24"/>
          <w:szCs w:val="24"/>
          <w:lang w:eastAsia="en-US"/>
        </w:rPr>
        <w:t>;</w:t>
      </w:r>
    </w:p>
    <w:p w14:paraId="2FF1D13D" w14:textId="77777777" w:rsidR="000C1E0E" w:rsidRDefault="00C84628"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i</m:t>
            </m:r>
            <m:r>
              <m:rPr>
                <m:sty m:val="p"/>
              </m:rPr>
              <w:rPr>
                <w:rFonts w:ascii="Cambria Math" w:hAnsi="Cambria Math"/>
                <w:sz w:val="24"/>
                <w:szCs w:val="24"/>
                <w:lang w:eastAsia="en-US"/>
              </w:rPr>
              <m:t>-</m:t>
            </m:r>
            <m:r>
              <m:rPr>
                <m:sty m:val="p"/>
              </m:rPr>
              <w:rPr>
                <w:rFonts w:ascii="Cambria Math" w:hAnsi="Times New Roman"/>
                <w:sz w:val="24"/>
                <w:szCs w:val="24"/>
                <w:lang w:eastAsia="en-US"/>
              </w:rPr>
              <m:t>1</m:t>
            </m:r>
          </m:sub>
        </m:sSub>
      </m:oMath>
      <w:r w:rsidR="000C1E0E">
        <w:rPr>
          <w:rFonts w:ascii="Times New Roman" w:hAnsi="Times New Roman"/>
          <w:sz w:val="24"/>
          <w:szCs w:val="24"/>
          <w:lang w:eastAsia="en-US"/>
        </w:rPr>
        <w:t xml:space="preserve"> – предыдущее значение рыночного индикатора;</w:t>
      </w:r>
    </w:p>
    <w:p w14:paraId="6AF4E261" w14:textId="77777777" w:rsidR="000C1E0E" w:rsidRDefault="000C1E0E" w:rsidP="000C1E0E">
      <w:pPr>
        <w:spacing w:line="360" w:lineRule="auto"/>
        <w:rPr>
          <w:rFonts w:ascii="Times New Roman" w:hAnsi="Times New Roman"/>
          <w:sz w:val="24"/>
          <w:szCs w:val="24"/>
          <w:lang w:eastAsia="en-US"/>
        </w:rPr>
      </w:pPr>
      <m:oMath>
        <m:r>
          <m:rPr>
            <m:sty m:val="p"/>
          </m:rPr>
          <w:rPr>
            <w:rFonts w:ascii="Cambria Math" w:hAnsi="Times New Roman"/>
            <w:sz w:val="24"/>
            <w:szCs w:val="24"/>
            <w:lang w:eastAsia="en-US"/>
          </w:rPr>
          <m:t>i=1</m:t>
        </m:r>
        <m:r>
          <m:rPr>
            <m:sty m:val="p"/>
          </m:rPr>
          <w:rPr>
            <w:rFonts w:ascii="Cambria Math" w:hAnsi="Cambria Math"/>
            <w:sz w:val="24"/>
            <w:szCs w:val="24"/>
            <w:lang w:eastAsia="en-US"/>
          </w:rPr>
          <m:t>…</m:t>
        </m:r>
        <m:r>
          <m:rPr>
            <m:sty m:val="p"/>
          </m:rPr>
          <w:rPr>
            <w:rFonts w:ascii="Cambria Math" w:hAnsi="Times New Roman"/>
            <w:sz w:val="24"/>
            <w:szCs w:val="24"/>
            <w:lang w:eastAsia="en-US"/>
          </w:rPr>
          <m:t>N</m:t>
        </m:r>
      </m:oMath>
      <w:r>
        <w:rPr>
          <w:rFonts w:ascii="Times New Roman" w:hAnsi="Times New Roman"/>
          <w:sz w:val="24"/>
          <w:szCs w:val="24"/>
          <w:lang w:eastAsia="en-US"/>
        </w:rPr>
        <w:t>, торговые дни, предшествующие дате определения справедливой стоимости. Для расчета доходности актива и рыночного индикатора (бенчмарка), 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4F9D9F8B" w14:textId="77777777" w:rsidR="000C1E0E" w:rsidRDefault="000C1E0E" w:rsidP="000C1E0E">
      <w:pPr>
        <w:spacing w:line="360" w:lineRule="auto"/>
        <w:ind w:firstLine="708"/>
        <w:rPr>
          <w:rFonts w:ascii="Times New Roman" w:hAnsi="Times New Roman"/>
          <w:sz w:val="24"/>
          <w:szCs w:val="24"/>
          <w:lang w:eastAsia="en-US"/>
        </w:rPr>
      </w:pPr>
      <w:r>
        <w:rPr>
          <w:rFonts w:ascii="Times New Roman" w:hAnsi="Times New Roman"/>
          <w:sz w:val="24"/>
          <w:szCs w:val="24"/>
          <w:lang w:eastAsia="en-US"/>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6CFE7E85" w14:textId="77777777" w:rsidR="000C1E0E" w:rsidRDefault="000C1E0E" w:rsidP="000C1E0E">
      <w:pPr>
        <w:spacing w:line="360" w:lineRule="auto"/>
        <w:ind w:firstLine="360"/>
        <w:rPr>
          <w:rFonts w:ascii="Times New Roman" w:hAnsi="Times New Roman"/>
          <w:sz w:val="24"/>
          <w:szCs w:val="24"/>
          <w:lang w:eastAsia="en-US"/>
        </w:rPr>
      </w:pPr>
      <w:r>
        <w:rPr>
          <w:rFonts w:ascii="Times New Roman" w:hAnsi="Times New Roman"/>
          <w:sz w:val="24"/>
          <w:szCs w:val="24"/>
          <w:lang w:eastAsia="en-US"/>
        </w:rPr>
        <w:t>Полученное значение Бета коэффициента округляется по правилам математического округления до пяти десятичных знаков.</w:t>
      </w:r>
    </w:p>
    <w:p w14:paraId="7A48AB26" w14:textId="77777777" w:rsidR="000C1E0E" w:rsidRDefault="000C1E0E" w:rsidP="000C1E0E">
      <w:pPr>
        <w:spacing w:line="360" w:lineRule="auto"/>
        <w:ind w:left="360"/>
        <w:rPr>
          <w:rFonts w:ascii="Times New Roman" w:hAnsi="Times New Roman"/>
          <w:sz w:val="24"/>
          <w:szCs w:val="24"/>
          <w:lang w:eastAsia="en-US"/>
        </w:rPr>
      </w:pPr>
      <w:r>
        <w:rPr>
          <w:rFonts w:ascii="Times New Roman" w:hAnsi="Times New Roman"/>
          <w:sz w:val="24"/>
          <w:szCs w:val="24"/>
          <w:lang w:eastAsia="en-US"/>
        </w:rPr>
        <w:t xml:space="preserve">Показатели </w:t>
      </w:r>
      <m:oMath>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a</m:t>
            </m:r>
          </m:sub>
        </m:sSub>
      </m:oMath>
      <w:r>
        <w:rPr>
          <w:rFonts w:ascii="Times New Roman" w:hAnsi="Times New Roman"/>
          <w:sz w:val="24"/>
          <w:szCs w:val="24"/>
          <w:lang w:eastAsia="en-US"/>
        </w:rPr>
        <w:t xml:space="preserve">, </w:t>
      </w:r>
      <m:oMath>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m</m:t>
            </m:r>
          </m:sub>
        </m:sSub>
      </m:oMath>
      <w:r>
        <w:rPr>
          <w:rFonts w:ascii="Times New Roman" w:hAnsi="Times New Roman"/>
          <w:sz w:val="24"/>
          <w:szCs w:val="24"/>
          <w:lang w:eastAsia="en-US"/>
        </w:rPr>
        <w:t xml:space="preserve"> рассчитываются без промежуточных округлений.</w:t>
      </w:r>
    </w:p>
    <w:p w14:paraId="50DAD427" w14:textId="77777777" w:rsidR="000C1E0E" w:rsidRDefault="000C1E0E" w:rsidP="000C1E0E">
      <w:pPr>
        <w:spacing w:line="360" w:lineRule="auto"/>
        <w:jc w:val="left"/>
        <w:rPr>
          <w:rFonts w:ascii="Times New Roman" w:hAnsi="Times New Roman"/>
          <w:sz w:val="24"/>
          <w:szCs w:val="24"/>
          <w:lang w:eastAsia="en-US"/>
        </w:rPr>
      </w:pPr>
    </w:p>
    <w:p w14:paraId="7609C60A" w14:textId="77777777" w:rsidR="000C1E0E" w:rsidRDefault="000C1E0E" w:rsidP="000C1E0E">
      <w:pPr>
        <w:spacing w:line="360" w:lineRule="auto"/>
        <w:rPr>
          <w:rFonts w:ascii="Times New Roman" w:hAnsi="Times New Roman"/>
          <w:sz w:val="24"/>
          <w:szCs w:val="24"/>
          <w:lang w:eastAsia="en-US"/>
        </w:rPr>
      </w:pPr>
      <w:r>
        <w:rPr>
          <w:rFonts w:ascii="Times New Roman" w:hAnsi="Times New Roman"/>
          <w:sz w:val="24"/>
          <w:szCs w:val="24"/>
          <w:lang w:eastAsia="en-US"/>
        </w:rPr>
        <w:t>Прочие условия:</w:t>
      </w:r>
    </w:p>
    <w:p w14:paraId="6FFF60B8" w14:textId="77777777" w:rsidR="000C1E0E" w:rsidRDefault="000C1E0E" w:rsidP="000C1E0E">
      <w:pPr>
        <w:spacing w:line="360" w:lineRule="auto"/>
        <w:ind w:firstLine="708"/>
        <w:rPr>
          <w:rFonts w:ascii="Times New Roman" w:hAnsi="Times New Roman"/>
          <w:sz w:val="24"/>
          <w:szCs w:val="24"/>
          <w:lang w:eastAsia="en-US"/>
        </w:rPr>
      </w:pPr>
      <w:r>
        <w:rPr>
          <w:rFonts w:ascii="Times New Roman" w:hAnsi="Times New Roman"/>
          <w:sz w:val="24"/>
          <w:szCs w:val="24"/>
          <w:lang w:eastAsia="en-US"/>
        </w:rPr>
        <w:t>Цена закрытия актива на дату определения справедливой стоимости в модели не учитывается.</w:t>
      </w:r>
    </w:p>
    <w:p w14:paraId="332E730C" w14:textId="77777777" w:rsidR="000C1E0E" w:rsidRDefault="000C1E0E" w:rsidP="000C1E0E">
      <w:pPr>
        <w:spacing w:line="360" w:lineRule="auto"/>
        <w:ind w:firstLine="708"/>
        <w:rPr>
          <w:rFonts w:ascii="Times New Roman" w:hAnsi="Times New Roman"/>
          <w:sz w:val="24"/>
          <w:szCs w:val="24"/>
          <w:lang w:eastAsia="en-US"/>
        </w:rPr>
      </w:pPr>
      <w:r>
        <w:rPr>
          <w:rFonts w:ascii="Times New Roman" w:hAnsi="Times New Roman"/>
          <w:sz w:val="24"/>
          <w:szCs w:val="24"/>
          <w:lang w:eastAsia="en-US"/>
        </w:rPr>
        <w:t>При отсутствии цены закрытия в какой-либо торговый день в периоде 45 торговых дней, на дату расчета коэффициента Бета, информация о значении рыночного индикатора (бенчмарка) и безрисковой ставки за этот торговый день в модели не учитывается.</w:t>
      </w:r>
    </w:p>
    <w:p w14:paraId="1800651C" w14:textId="77777777" w:rsidR="000C1E0E" w:rsidRDefault="000C1E0E" w:rsidP="000C1E0E">
      <w:pPr>
        <w:spacing w:line="360" w:lineRule="auto"/>
        <w:ind w:firstLine="708"/>
        <w:rPr>
          <w:rFonts w:ascii="Times New Roman" w:hAnsi="Times New Roman"/>
          <w:sz w:val="24"/>
          <w:szCs w:val="24"/>
          <w:lang w:eastAsia="en-US"/>
        </w:rPr>
      </w:pPr>
      <w:r>
        <w:rPr>
          <w:rFonts w:ascii="Times New Roman" w:hAnsi="Times New Roman"/>
          <w:sz w:val="24"/>
          <w:szCs w:val="24"/>
          <w:lang w:eastAsia="en-US"/>
        </w:rPr>
        <w:t>При наличии цены закрытия и отсутствии значения рыночного индикатора (бенчмарка) в какой-либо торговый день в периоде 45 торговых дней, на дату расчета коэффициента Бета, значение рыночного индикатора (бенчмарка) за этот торговый день принимается равным последнему известному.</w:t>
      </w:r>
    </w:p>
    <w:p w14:paraId="62339D2A" w14:textId="77777777" w:rsidR="000C1E0E" w:rsidRDefault="000C1E0E" w:rsidP="000C1E0E">
      <w:pPr>
        <w:spacing w:line="360" w:lineRule="auto"/>
        <w:ind w:firstLine="708"/>
        <w:rPr>
          <w:rFonts w:ascii="Times New Roman" w:hAnsi="Times New Roman"/>
          <w:sz w:val="24"/>
          <w:szCs w:val="24"/>
          <w:lang w:eastAsia="en-US"/>
        </w:rPr>
      </w:pPr>
      <w:r>
        <w:rPr>
          <w:rFonts w:ascii="Times New Roman" w:hAnsi="Times New Roman"/>
          <w:sz w:val="24"/>
          <w:szCs w:val="24"/>
          <w:lang w:eastAsia="en-US"/>
        </w:rPr>
        <w:t>При отсутствии значения безрисковой ставки на дату расчета, значение безрисковой ставки за этот день принимается равным последнему известному.</w:t>
      </w:r>
    </w:p>
    <w:p w14:paraId="712144B9" w14:textId="77777777" w:rsidR="000C1E0E" w:rsidRDefault="000C1E0E" w:rsidP="000C1E0E">
      <w:pPr>
        <w:spacing w:line="360" w:lineRule="auto"/>
        <w:ind w:firstLine="708"/>
        <w:rPr>
          <w:rFonts w:ascii="Times New Roman" w:hAnsi="Times New Roman"/>
          <w:sz w:val="24"/>
          <w:szCs w:val="24"/>
          <w:lang w:eastAsia="en-US"/>
        </w:rPr>
      </w:pPr>
      <w:r>
        <w:rPr>
          <w:rFonts w:ascii="Times New Roman" w:hAnsi="Times New Roman"/>
          <w:sz w:val="24"/>
          <w:szCs w:val="24"/>
          <w:lang w:eastAsia="en-US"/>
        </w:rPr>
        <w:t>С даты возникновения оснований для применения модели CAPM до даты прекращения оснований для применения модели CAPM используется информация только той биржи, которая определена на дату возникновения оснований для применения модели CAPM. К такой информации относится следующие значения:</w:t>
      </w:r>
    </w:p>
    <w:p w14:paraId="24565FB3" w14:textId="77777777" w:rsidR="000C1E0E" w:rsidRDefault="000C1E0E" w:rsidP="000C1E0E">
      <w:pPr>
        <w:numPr>
          <w:ilvl w:val="0"/>
          <w:numId w:val="13"/>
        </w:numPr>
        <w:spacing w:after="200" w:line="360" w:lineRule="auto"/>
        <w:contextualSpacing/>
        <w:jc w:val="left"/>
        <w:rPr>
          <w:rFonts w:ascii="Times New Roman" w:hAnsi="Times New Roman"/>
          <w:sz w:val="24"/>
          <w:szCs w:val="24"/>
          <w:lang w:eastAsia="en-US"/>
        </w:rPr>
      </w:pPr>
      <w:r>
        <w:rPr>
          <w:rFonts w:ascii="Times New Roman" w:hAnsi="Times New Roman"/>
          <w:sz w:val="24"/>
          <w:szCs w:val="24"/>
          <w:lang w:eastAsia="en-US"/>
        </w:rPr>
        <w:t>цена закрытия;</w:t>
      </w:r>
    </w:p>
    <w:p w14:paraId="20A21E7C" w14:textId="77777777" w:rsidR="000C1E0E" w:rsidRDefault="000C1E0E" w:rsidP="000C1E0E">
      <w:pPr>
        <w:numPr>
          <w:ilvl w:val="0"/>
          <w:numId w:val="13"/>
        </w:numPr>
        <w:spacing w:after="200" w:line="360" w:lineRule="auto"/>
        <w:contextualSpacing/>
        <w:jc w:val="left"/>
        <w:rPr>
          <w:rFonts w:ascii="Times New Roman" w:hAnsi="Times New Roman"/>
          <w:sz w:val="24"/>
          <w:szCs w:val="24"/>
          <w:lang w:eastAsia="en-US"/>
        </w:rPr>
      </w:pPr>
      <w:r>
        <w:rPr>
          <w:rFonts w:ascii="Times New Roman" w:hAnsi="Times New Roman"/>
          <w:sz w:val="24"/>
          <w:szCs w:val="24"/>
          <w:lang w:eastAsia="en-US"/>
        </w:rPr>
        <w:t xml:space="preserve"> значение рыночного индикатора.</w:t>
      </w:r>
    </w:p>
    <w:p w14:paraId="06784754" w14:textId="77777777" w:rsidR="000C1E0E" w:rsidRDefault="000C1E0E" w:rsidP="000C1E0E">
      <w:pPr>
        <w:spacing w:line="360" w:lineRule="auto"/>
        <w:jc w:val="left"/>
        <w:rPr>
          <w:rFonts w:ascii="Times New Roman" w:eastAsiaTheme="minorHAnsi" w:hAnsi="Times New Roman"/>
          <w:sz w:val="24"/>
          <w:szCs w:val="24"/>
          <w:lang w:eastAsia="en-US"/>
        </w:rPr>
      </w:pPr>
      <w:r>
        <w:rPr>
          <w:rFonts w:ascii="Times New Roman" w:hAnsi="Times New Roman"/>
          <w:sz w:val="24"/>
          <w:szCs w:val="24"/>
          <w:lang w:eastAsia="en-US"/>
        </w:rPr>
        <w:br/>
      </w:r>
    </w:p>
    <w:p w14:paraId="4F55118B" w14:textId="77777777" w:rsidR="000C1E0E" w:rsidRDefault="000C1E0E" w:rsidP="000C1E0E">
      <w:pPr>
        <w:spacing w:line="360" w:lineRule="auto"/>
        <w:ind w:firstLine="426"/>
        <w:rPr>
          <w:rFonts w:ascii="Times New Roman" w:eastAsiaTheme="minorHAnsi" w:hAnsi="Times New Roman"/>
          <w:b/>
          <w:sz w:val="24"/>
          <w:szCs w:val="24"/>
          <w:lang w:eastAsia="en-US"/>
        </w:rPr>
      </w:pPr>
      <w:r>
        <w:rPr>
          <w:rFonts w:ascii="Times New Roman" w:eastAsiaTheme="minorHAnsi" w:hAnsi="Times New Roman"/>
          <w:b/>
          <w:sz w:val="24"/>
          <w:szCs w:val="24"/>
          <w:lang w:eastAsia="en-US"/>
        </w:rPr>
        <w:t>Уровень 3</w:t>
      </w:r>
      <w:r>
        <w:rPr>
          <w:rFonts w:ascii="Times New Roman" w:eastAsiaTheme="minorHAnsi" w:hAnsi="Times New Roman"/>
          <w:sz w:val="24"/>
          <w:szCs w:val="24"/>
          <w:lang w:eastAsia="en-US"/>
        </w:rPr>
        <w:t xml:space="preserve">. Если ни в один из 30 торговых дней, предшествующих дате оценки, не были доступны данные Уровня 2, то справедливая стоимость облигации определяется путем дисконтирования стоимости будущих купонных платежей, а также номинала по ставкам кривой безрисковых доходностей, скорректированных на кредитный спред: </w:t>
      </w:r>
    </w:p>
    <w:p w14:paraId="0D8EEBE6" w14:textId="77777777" w:rsidR="000C1E0E" w:rsidRDefault="000C1E0E" w:rsidP="000C1E0E">
      <w:pPr>
        <w:spacing w:line="360" w:lineRule="auto"/>
        <w:rPr>
          <w:rFonts w:ascii="Times New Roman" w:eastAsiaTheme="minorHAnsi" w:hAnsi="Times New Roman"/>
          <w:sz w:val="24"/>
          <w:szCs w:val="24"/>
          <w:lang w:eastAsia="en-US"/>
        </w:rPr>
      </w:pPr>
      <w:r>
        <w:rPr>
          <w:rFonts w:ascii="Times New Roman" w:eastAsiaTheme="minorHAnsi" w:hAnsi="Times New Roman"/>
          <w:noProof/>
          <w:position w:val="-30"/>
          <w:sz w:val="24"/>
          <w:szCs w:val="24"/>
          <w:lang w:eastAsia="en-US"/>
        </w:rPr>
        <w:object w:dxaOrig="2910" w:dyaOrig="690" w14:anchorId="1DE224D1">
          <v:shape id="_x0000_i1070" type="#_x0000_t75" style="width:145.65pt;height:34.35pt" o:ole="">
            <v:imagedata r:id="rId99" o:title=""/>
          </v:shape>
          <o:OLEObject Type="Embed" ProgID="Equation.3" ShapeID="_x0000_i1070" DrawAspect="Content" ObjectID="_1685873771" r:id="rId100"/>
        </w:object>
      </w:r>
    </w:p>
    <w:p w14:paraId="3EFC8755" w14:textId="77777777" w:rsidR="000C1E0E" w:rsidRDefault="000C1E0E" w:rsidP="000C1E0E">
      <w:pPr>
        <w:spacing w:line="36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P</w:t>
      </w:r>
      <w:r>
        <w:rPr>
          <w:rFonts w:ascii="Times New Roman" w:eastAsiaTheme="minorHAnsi" w:hAnsi="Times New Roman"/>
          <w:sz w:val="24"/>
          <w:szCs w:val="24"/>
          <w:vertAlign w:val="subscript"/>
          <w:lang w:val="en-US" w:eastAsia="en-US"/>
        </w:rPr>
        <w:t>t</w:t>
      </w:r>
      <w:r>
        <w:rPr>
          <w:rFonts w:ascii="Times New Roman" w:eastAsiaTheme="minorHAnsi" w:hAnsi="Times New Roman"/>
          <w:sz w:val="24"/>
          <w:szCs w:val="24"/>
          <w:vertAlign w:val="subscript"/>
          <w:lang w:eastAsia="en-US"/>
        </w:rPr>
        <w:t>0</w:t>
      </w:r>
      <w:r>
        <w:rPr>
          <w:rFonts w:ascii="Times New Roman" w:eastAsiaTheme="minorHAnsi" w:hAnsi="Times New Roman"/>
          <w:sz w:val="24"/>
          <w:szCs w:val="24"/>
          <w:vertAlign w:val="subscript"/>
          <w:lang w:eastAsia="en-US"/>
        </w:rPr>
        <w:tab/>
      </w:r>
      <w:r>
        <w:rPr>
          <w:rFonts w:ascii="Times New Roman" w:eastAsiaTheme="minorHAnsi" w:hAnsi="Times New Roman"/>
          <w:sz w:val="24"/>
          <w:szCs w:val="24"/>
          <w:lang w:eastAsia="en-US"/>
        </w:rPr>
        <w:t xml:space="preserve"> – справедливая стоимость облигации;</w:t>
      </w:r>
    </w:p>
    <w:p w14:paraId="78E0AB3B" w14:textId="77777777" w:rsidR="000C1E0E" w:rsidRDefault="000C1E0E" w:rsidP="000C1E0E">
      <w:pPr>
        <w:spacing w:line="360" w:lineRule="auto"/>
        <w:rPr>
          <w:rFonts w:ascii="Times New Roman" w:eastAsiaTheme="minorHAnsi" w:hAnsi="Times New Roman"/>
          <w:sz w:val="24"/>
          <w:szCs w:val="24"/>
          <w:lang w:eastAsia="en-US"/>
        </w:rPr>
      </w:pPr>
      <w:r>
        <w:rPr>
          <w:rFonts w:ascii="Times New Roman" w:eastAsiaTheme="minorHAnsi" w:hAnsi="Times New Roman"/>
          <w:sz w:val="24"/>
          <w:szCs w:val="24"/>
          <w:lang w:val="en-US" w:eastAsia="en-US"/>
        </w:rPr>
        <w:t>i</w:t>
      </w:r>
      <w:r>
        <w:rPr>
          <w:rFonts w:ascii="Times New Roman" w:eastAsiaTheme="minorHAnsi" w:hAnsi="Times New Roman"/>
          <w:sz w:val="24"/>
          <w:szCs w:val="24"/>
          <w:lang w:eastAsia="en-US"/>
        </w:rPr>
        <w:t xml:space="preserve"> – порядковый номер денежного потока;</w:t>
      </w:r>
    </w:p>
    <w:p w14:paraId="5E15F117" w14:textId="3C360EC2" w:rsidR="000C1E0E" w:rsidRDefault="000C1E0E" w:rsidP="000C1E0E">
      <w:pPr>
        <w:spacing w:line="36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CFi</w:t>
      </w:r>
      <w:r>
        <w:rPr>
          <w:rFonts w:ascii="Times New Roman" w:eastAsiaTheme="minorHAnsi" w:hAnsi="Times New Roman"/>
          <w:sz w:val="24"/>
          <w:szCs w:val="24"/>
          <w:lang w:eastAsia="en-US"/>
        </w:rPr>
        <w:tab/>
        <w:t xml:space="preserve"> – </w:t>
      </w:r>
      <w:r>
        <w:rPr>
          <w:rFonts w:ascii="Times New Roman" w:eastAsiaTheme="minorHAnsi" w:hAnsi="Times New Roman"/>
          <w:sz w:val="24"/>
          <w:szCs w:val="24"/>
          <w:lang w:val="en-US" w:eastAsia="en-US"/>
        </w:rPr>
        <w:t>i</w:t>
      </w:r>
      <w:r>
        <w:rPr>
          <w:rFonts w:ascii="Times New Roman" w:eastAsiaTheme="minorHAnsi" w:hAnsi="Times New Roman"/>
          <w:sz w:val="24"/>
          <w:szCs w:val="24"/>
          <w:lang w:eastAsia="en-US"/>
        </w:rPr>
        <w:t>-ый денежный поток по облигации – будущие денежные потоки по облигации (включая купонные вы</w:t>
      </w:r>
      <w:r w:rsidR="00F91C71">
        <w:rPr>
          <w:rFonts w:ascii="Times New Roman" w:eastAsiaTheme="minorHAnsi" w:hAnsi="Times New Roman"/>
          <w:sz w:val="24"/>
          <w:szCs w:val="24"/>
          <w:lang w:eastAsia="en-US"/>
        </w:rPr>
        <w:t xml:space="preserve">платы, амортизационные платежи, </w:t>
      </w:r>
      <w:r>
        <w:rPr>
          <w:rFonts w:ascii="Times New Roman" w:eastAsiaTheme="minorHAnsi" w:hAnsi="Times New Roman"/>
          <w:sz w:val="24"/>
          <w:szCs w:val="24"/>
          <w:lang w:eastAsia="en-US"/>
        </w:rPr>
        <w:t>и погашение остаточной номинальной стоимости) с даты определения справедливой стоимости (не включая) до даты оферты (если оферта предусмотрена условиями выпуска облигации), либо даты полного погашения, предусмотренного условиями выпуска (если оферта не предусмотрена). При этом если до даты оферты/погашения существуют купонные периоды, для которых ставка купона не определена, расчет денежного потока за указанный период производится исходя из последнего известного значения ставки купона;</w:t>
      </w:r>
    </w:p>
    <w:p w14:paraId="0ACEE689" w14:textId="77777777" w:rsidR="000C1E0E" w:rsidRDefault="000C1E0E" w:rsidP="000C1E0E">
      <w:pPr>
        <w:spacing w:line="360" w:lineRule="auto"/>
        <w:rPr>
          <w:rFonts w:ascii="Times New Roman" w:eastAsiaTheme="minorHAnsi" w:hAnsi="Times New Roman"/>
          <w:sz w:val="24"/>
          <w:szCs w:val="24"/>
          <w:lang w:eastAsia="en-US"/>
        </w:rPr>
      </w:pPr>
      <w:r>
        <w:rPr>
          <w:rFonts w:ascii="Times New Roman" w:eastAsiaTheme="minorHAnsi" w:hAnsi="Times New Roman"/>
          <w:sz w:val="24"/>
          <w:szCs w:val="24"/>
          <w:lang w:val="en-US" w:eastAsia="en-US"/>
        </w:rPr>
        <w:t>r</w:t>
      </w:r>
      <w:r>
        <w:rPr>
          <w:rFonts w:ascii="Times New Roman" w:eastAsiaTheme="minorHAnsi" w:hAnsi="Times New Roman"/>
          <w:sz w:val="24"/>
          <w:szCs w:val="24"/>
          <w:lang w:eastAsia="en-US"/>
        </w:rPr>
        <w:t>i</w:t>
      </w:r>
      <w:r>
        <w:rPr>
          <w:rFonts w:ascii="Times New Roman" w:eastAsiaTheme="minorHAnsi" w:hAnsi="Times New Roman"/>
          <w:sz w:val="24"/>
          <w:szCs w:val="24"/>
          <w:lang w:eastAsia="en-US"/>
        </w:rPr>
        <w:tab/>
        <w:t xml:space="preserve"> – ставка кривой бескупонной доходности рынка ОФЗ (</w:t>
      </w:r>
      <w:r>
        <w:rPr>
          <w:rFonts w:ascii="Times New Roman" w:eastAsiaTheme="minorHAnsi" w:hAnsi="Times New Roman"/>
          <w:sz w:val="24"/>
          <w:szCs w:val="24"/>
          <w:lang w:val="en-US" w:eastAsia="en-US"/>
        </w:rPr>
        <w:t>G</w:t>
      </w:r>
      <w:r>
        <w:rPr>
          <w:rFonts w:ascii="Times New Roman" w:eastAsiaTheme="minorHAnsi" w:hAnsi="Times New Roman"/>
          <w:sz w:val="24"/>
          <w:szCs w:val="24"/>
          <w:lang w:eastAsia="en-US"/>
        </w:rPr>
        <w:t>-кривая), соответствующая дате выплаты i-го денежного потока, публикуемая Банком России и Московской Биржей;</w:t>
      </w:r>
    </w:p>
    <w:p w14:paraId="3E6ECDD1" w14:textId="77777777" w:rsidR="000C1E0E" w:rsidRDefault="000C1E0E" w:rsidP="000C1E0E">
      <w:pPr>
        <w:spacing w:line="360" w:lineRule="auto"/>
        <w:rPr>
          <w:rFonts w:ascii="Times New Roman" w:eastAsiaTheme="minorHAnsi" w:hAnsi="Times New Roman"/>
          <w:sz w:val="24"/>
          <w:szCs w:val="24"/>
          <w:lang w:eastAsia="en-US"/>
        </w:rPr>
      </w:pPr>
      <w:r>
        <w:rPr>
          <w:rFonts w:ascii="Times New Roman" w:eastAsiaTheme="minorHAnsi" w:hAnsi="Times New Roman"/>
          <w:sz w:val="24"/>
          <w:szCs w:val="24"/>
          <w:lang w:val="en-US" w:eastAsia="en-US"/>
        </w:rPr>
        <w:t>CrSpread</w:t>
      </w:r>
      <w:r>
        <w:rPr>
          <w:rFonts w:ascii="Times New Roman" w:eastAsiaTheme="minorHAnsi" w:hAnsi="Times New Roman"/>
          <w:sz w:val="24"/>
          <w:szCs w:val="24"/>
          <w:lang w:eastAsia="en-US"/>
        </w:rPr>
        <w:t xml:space="preserve"> – кредитный спред облигационного индекса (расчет приведен ниже);</w:t>
      </w:r>
    </w:p>
    <w:p w14:paraId="3BDA9FAC" w14:textId="77777777" w:rsidR="000C1E0E" w:rsidRDefault="000C1E0E" w:rsidP="000C1E0E">
      <w:pPr>
        <w:spacing w:line="36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ti</w:t>
      </w:r>
      <w:r>
        <w:rPr>
          <w:rFonts w:ascii="Times New Roman" w:eastAsiaTheme="minorHAnsi" w:hAnsi="Times New Roman"/>
          <w:sz w:val="24"/>
          <w:szCs w:val="24"/>
          <w:lang w:eastAsia="en-US"/>
        </w:rPr>
        <w:noBreakHyphen/>
        <w:t xml:space="preserve"> – срок до выплаты i-го денежного потока в годах (в качестве базы расчета используется 365 дней)</w:t>
      </w:r>
    </w:p>
    <w:p w14:paraId="4D2C4DAB" w14:textId="77777777" w:rsidR="000C1E0E" w:rsidRDefault="000C1E0E" w:rsidP="000C1E0E">
      <w:pPr>
        <w:spacing w:after="200" w:line="360" w:lineRule="auto"/>
        <w:ind w:firstLine="284"/>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В случае, если какой-либо выпуск облигаций был реструктуризирован, то полученное значение до даты выплаты первого купона с момента реорганизации корректируется на коэффициент, равный максимальной вероятности дефолта на горизонте 1 год по статистике международного рейтингового агентства «S&amp;P» по компаниям с преддефолтным рейтингом в составе отчета (Источник: </w:t>
      </w:r>
      <w:hyperlink r:id="rId101" w:history="1">
        <w:r>
          <w:rPr>
            <w:rStyle w:val="a7"/>
            <w:rFonts w:eastAsiaTheme="minorHAnsi"/>
            <w:sz w:val="24"/>
            <w:szCs w:val="24"/>
            <w:lang w:eastAsia="en-US"/>
          </w:rPr>
          <w:t>https://www.spratings.com/documents/20184/774196/2016+Annual+Global+Corporate+Default+Study+And+Rating+Transitions.pdf/2ddcf9dd-3b82-4151-9dab-8e3fc70a7035</w:t>
        </w:r>
      </w:hyperlink>
      <w:r>
        <w:rPr>
          <w:rFonts w:ascii="Times New Roman" w:eastAsiaTheme="minorHAnsi" w:hAnsi="Times New Roman"/>
          <w:sz w:val="24"/>
          <w:szCs w:val="24"/>
          <w:lang w:eastAsia="en-US"/>
        </w:rPr>
        <w:t>, таблица 9).</w:t>
      </w:r>
    </w:p>
    <w:p w14:paraId="37AC7E33"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В случае, если выпуск является субординированным, то в расчете ставки дисконтирования необходимо учитывать премию за субординированность. Порядок расчета премии должен быть описан в Правилах определения СЧА.</w:t>
      </w:r>
    </w:p>
    <w:p w14:paraId="6F7245A3"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Справедливая стоимость облигаций, полученная в результате данного метода расчета, округляется до двух знаков после запятой, с применением правил математического округления.</w:t>
      </w:r>
    </w:p>
    <w:p w14:paraId="0DE679A0" w14:textId="1346077B" w:rsidR="000C1E0E" w:rsidRDefault="000C1E0E" w:rsidP="000C1E0E">
      <w:pPr>
        <w:ind w:firstLine="426"/>
        <w:rPr>
          <w:sz w:val="24"/>
          <w:szCs w:val="24"/>
        </w:rPr>
      </w:pPr>
      <w:r>
        <w:rPr>
          <w:rFonts w:ascii="Times New Roman" w:eastAsiaTheme="minorHAnsi" w:hAnsi="Times New Roman"/>
          <w:sz w:val="24"/>
          <w:szCs w:val="24"/>
          <w:lang w:eastAsia="en-US"/>
        </w:rPr>
        <w:t>Для целей расчета медианного кредитного спреда (</w:t>
      </w:r>
      <m:oMath>
        <m:r>
          <w:rPr>
            <w:rFonts w:ascii="Cambria Math" w:eastAsiaTheme="minorHAnsi" w:hAnsi="Cambria Math"/>
            <w:sz w:val="24"/>
            <w:szCs w:val="24"/>
            <w:lang w:eastAsia="en-US"/>
          </w:rPr>
          <m:t>CrSpread</m:t>
        </m:r>
      </m:oMath>
      <w:r>
        <w:rPr>
          <w:rFonts w:ascii="Times New Roman" w:eastAsiaTheme="minorHAnsi" w:hAnsi="Times New Roman"/>
          <w:sz w:val="24"/>
          <w:szCs w:val="24"/>
          <w:lang w:eastAsia="en-US"/>
        </w:rPr>
        <w:t xml:space="preserve">) в зависимости от кредитного рейтинга у выпуска долговой ценной бумаги (кредитный рейтинг в валюте номинала), а в случае его отсутствия - </w:t>
      </w:r>
      <w:r>
        <w:rPr>
          <w:b/>
          <w:sz w:val="24"/>
          <w:szCs w:val="24"/>
        </w:rPr>
        <w:t>сначала</w:t>
      </w:r>
      <w:r>
        <w:rPr>
          <w:sz w:val="24"/>
          <w:szCs w:val="24"/>
        </w:rPr>
        <w:t xml:space="preserve"> </w:t>
      </w:r>
      <w:r>
        <w:rPr>
          <w:b/>
          <w:sz w:val="24"/>
          <w:szCs w:val="24"/>
        </w:rPr>
        <w:t>рейтинг эмитента, а в случае и его отсутствия рейтинг поручителя (гаранта) долговой ценной бумаги,</w:t>
      </w:r>
      <w:r>
        <w:rPr>
          <w:sz w:val="24"/>
          <w:szCs w:val="24"/>
        </w:rPr>
        <w:t xml:space="preserve"> долговая ценная бумага может быть отнесена к одной из четырех рейтинговых групп. При наличии нескольких рейтингов, выбирается </w:t>
      </w:r>
      <w:r>
        <w:rPr>
          <w:b/>
          <w:sz w:val="24"/>
          <w:szCs w:val="24"/>
        </w:rPr>
        <w:t>наиболее актуальный на дату оценки кредитный рейтинг.</w:t>
      </w:r>
      <w:r>
        <w:rPr>
          <w:sz w:val="24"/>
          <w:szCs w:val="24"/>
        </w:rPr>
        <w:t xml:space="preserve"> Если поручительство по выпуску долговой ценной бумаги обеспечивает исполнение обязательств в полном объёме и (или) гарантия выдана на сумму номинальной стоимости и процентов по таким долговым ценным бумагам, то выбирается</w:t>
      </w:r>
      <w:r>
        <w:rPr>
          <w:b/>
          <w:sz w:val="24"/>
          <w:szCs w:val="24"/>
        </w:rPr>
        <w:t xml:space="preserve"> наиболее актуальный на дату оценки кредитный рейтинг</w:t>
      </w:r>
      <w:r>
        <w:rPr>
          <w:sz w:val="24"/>
          <w:szCs w:val="24"/>
        </w:rPr>
        <w:t xml:space="preserve"> выпуска долговой ценной бумаги и поручителя (гаранта).</w:t>
      </w:r>
    </w:p>
    <w:p w14:paraId="5DD4A8E5" w14:textId="77777777" w:rsidR="000C1E0E" w:rsidRDefault="000C1E0E" w:rsidP="000C1E0E">
      <w:pPr>
        <w:spacing w:after="120" w:line="360" w:lineRule="auto"/>
        <w:ind w:firstLine="426"/>
        <w:rPr>
          <w:rFonts w:ascii="Times New Roman" w:eastAsiaTheme="minorHAnsi" w:hAnsi="Times New Roman"/>
          <w:sz w:val="24"/>
          <w:szCs w:val="24"/>
          <w:lang w:eastAsia="en-US"/>
        </w:rPr>
      </w:pPr>
    </w:p>
    <w:tbl>
      <w:tblPr>
        <w:tblW w:w="9631" w:type="dxa"/>
        <w:jc w:val="center"/>
        <w:tblLook w:val="04A0" w:firstRow="1" w:lastRow="0" w:firstColumn="1" w:lastColumn="0" w:noHBand="0" w:noVBand="1"/>
      </w:tblPr>
      <w:tblGrid>
        <w:gridCol w:w="1325"/>
        <w:gridCol w:w="1120"/>
        <w:gridCol w:w="1986"/>
        <w:gridCol w:w="1986"/>
        <w:gridCol w:w="1986"/>
        <w:gridCol w:w="1611"/>
      </w:tblGrid>
      <w:tr w:rsidR="000C1E0E" w14:paraId="42B3C794" w14:textId="77777777" w:rsidTr="0098752B">
        <w:trPr>
          <w:trHeight w:val="180"/>
          <w:jc w:val="center"/>
        </w:trPr>
        <w:tc>
          <w:tcPr>
            <w:tcW w:w="1833" w:type="dxa"/>
            <w:vMerge w:val="restart"/>
            <w:tcBorders>
              <w:top w:val="single" w:sz="8" w:space="0" w:color="auto"/>
              <w:left w:val="single" w:sz="8" w:space="0" w:color="auto"/>
              <w:bottom w:val="single" w:sz="8" w:space="0" w:color="000000"/>
              <w:right w:val="single" w:sz="8" w:space="0" w:color="auto"/>
            </w:tcBorders>
            <w:vAlign w:val="center"/>
            <w:hideMark/>
          </w:tcPr>
          <w:p w14:paraId="426034C1"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АКРА</w:t>
            </w:r>
          </w:p>
        </w:tc>
        <w:tc>
          <w:tcPr>
            <w:tcW w:w="1287" w:type="dxa"/>
            <w:vMerge w:val="restart"/>
            <w:tcBorders>
              <w:top w:val="single" w:sz="8" w:space="0" w:color="auto"/>
              <w:left w:val="single" w:sz="8" w:space="0" w:color="auto"/>
              <w:bottom w:val="single" w:sz="8" w:space="0" w:color="000000"/>
              <w:right w:val="single" w:sz="8" w:space="0" w:color="auto"/>
            </w:tcBorders>
            <w:vAlign w:val="center"/>
            <w:hideMark/>
          </w:tcPr>
          <w:p w14:paraId="7FD4A89A"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Эксперт РА</w:t>
            </w:r>
          </w:p>
        </w:tc>
        <w:tc>
          <w:tcPr>
            <w:tcW w:w="1691" w:type="dxa"/>
            <w:tcBorders>
              <w:top w:val="single" w:sz="8" w:space="0" w:color="auto"/>
              <w:left w:val="nil"/>
              <w:bottom w:val="single" w:sz="4" w:space="0" w:color="auto"/>
              <w:right w:val="single" w:sz="8" w:space="0" w:color="auto"/>
            </w:tcBorders>
            <w:noWrap/>
            <w:vAlign w:val="center"/>
            <w:hideMark/>
          </w:tcPr>
          <w:p w14:paraId="1C5509A5"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Moody`s</w:t>
            </w:r>
          </w:p>
        </w:tc>
        <w:tc>
          <w:tcPr>
            <w:tcW w:w="1700" w:type="dxa"/>
            <w:tcBorders>
              <w:top w:val="single" w:sz="8" w:space="0" w:color="auto"/>
              <w:left w:val="nil"/>
              <w:bottom w:val="single" w:sz="4" w:space="0" w:color="auto"/>
              <w:right w:val="nil"/>
            </w:tcBorders>
            <w:vAlign w:val="center"/>
            <w:hideMark/>
          </w:tcPr>
          <w:p w14:paraId="055FAF6D"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S&amp;P</w:t>
            </w:r>
          </w:p>
        </w:tc>
        <w:tc>
          <w:tcPr>
            <w:tcW w:w="1701" w:type="dxa"/>
            <w:tcBorders>
              <w:top w:val="single" w:sz="8" w:space="0" w:color="auto"/>
              <w:left w:val="single" w:sz="8" w:space="0" w:color="auto"/>
              <w:bottom w:val="single" w:sz="4" w:space="0" w:color="auto"/>
              <w:right w:val="single" w:sz="8" w:space="0" w:color="auto"/>
            </w:tcBorders>
            <w:noWrap/>
            <w:vAlign w:val="center"/>
            <w:hideMark/>
          </w:tcPr>
          <w:p w14:paraId="42D989B7"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Fitch</w:t>
            </w:r>
          </w:p>
        </w:tc>
        <w:tc>
          <w:tcPr>
            <w:tcW w:w="1419" w:type="dxa"/>
            <w:vMerge w:val="restart"/>
            <w:tcBorders>
              <w:top w:val="single" w:sz="8" w:space="0" w:color="auto"/>
              <w:left w:val="single" w:sz="8" w:space="0" w:color="auto"/>
              <w:bottom w:val="single" w:sz="4" w:space="0" w:color="auto"/>
              <w:right w:val="single" w:sz="8" w:space="0" w:color="auto"/>
            </w:tcBorders>
            <w:noWrap/>
            <w:vAlign w:val="center"/>
            <w:hideMark/>
          </w:tcPr>
          <w:p w14:paraId="2E851643"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Рейтинговая группа</w:t>
            </w:r>
          </w:p>
        </w:tc>
      </w:tr>
      <w:tr w:rsidR="000C1E0E" w14:paraId="33C40159" w14:textId="77777777" w:rsidTr="0098752B">
        <w:trPr>
          <w:trHeight w:val="613"/>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5FC5E4C" w14:textId="77777777" w:rsidR="000C1E0E" w:rsidRDefault="000C1E0E" w:rsidP="0098752B">
            <w:pPr>
              <w:spacing w:line="240" w:lineRule="auto"/>
              <w:jc w:val="left"/>
              <w:rPr>
                <w:rFonts w:ascii="Times New Roman" w:eastAsiaTheme="minorHAnsi" w:hAnsi="Times New Roman"/>
                <w:b/>
                <w:bCs/>
                <w:sz w:val="24"/>
                <w:szCs w:val="24"/>
                <w:lang w:eastAsia="en-U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DBA41CE" w14:textId="77777777" w:rsidR="000C1E0E" w:rsidRDefault="000C1E0E" w:rsidP="0098752B">
            <w:pPr>
              <w:spacing w:line="240" w:lineRule="auto"/>
              <w:jc w:val="left"/>
              <w:rPr>
                <w:rFonts w:ascii="Times New Roman" w:eastAsiaTheme="minorHAnsi" w:hAnsi="Times New Roman"/>
                <w:b/>
                <w:bCs/>
                <w:sz w:val="24"/>
                <w:szCs w:val="24"/>
                <w:lang w:eastAsia="en-US"/>
              </w:rPr>
            </w:pPr>
          </w:p>
        </w:tc>
        <w:tc>
          <w:tcPr>
            <w:tcW w:w="1691" w:type="dxa"/>
            <w:tcBorders>
              <w:top w:val="single" w:sz="4" w:space="0" w:color="auto"/>
              <w:left w:val="single" w:sz="4" w:space="0" w:color="auto"/>
              <w:bottom w:val="single" w:sz="4" w:space="0" w:color="auto"/>
              <w:right w:val="single" w:sz="4" w:space="0" w:color="auto"/>
            </w:tcBorders>
            <w:vAlign w:val="center"/>
            <w:hideMark/>
          </w:tcPr>
          <w:p w14:paraId="2D7B5E85"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Международная шкала</w:t>
            </w:r>
          </w:p>
        </w:tc>
        <w:tc>
          <w:tcPr>
            <w:tcW w:w="1700" w:type="dxa"/>
            <w:tcBorders>
              <w:top w:val="single" w:sz="4" w:space="0" w:color="auto"/>
              <w:left w:val="single" w:sz="4" w:space="0" w:color="auto"/>
              <w:bottom w:val="single" w:sz="4" w:space="0" w:color="auto"/>
              <w:right w:val="single" w:sz="4" w:space="0" w:color="auto"/>
            </w:tcBorders>
            <w:vAlign w:val="center"/>
            <w:hideMark/>
          </w:tcPr>
          <w:p w14:paraId="70E5D042"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Международная шкала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B7359CE"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Международная шкала</w:t>
            </w:r>
          </w:p>
        </w:tc>
        <w:tc>
          <w:tcPr>
            <w:tcW w:w="0" w:type="auto"/>
            <w:vMerge/>
            <w:tcBorders>
              <w:top w:val="single" w:sz="8" w:space="0" w:color="auto"/>
              <w:left w:val="single" w:sz="8" w:space="0" w:color="auto"/>
              <w:bottom w:val="single" w:sz="4" w:space="0" w:color="auto"/>
              <w:right w:val="single" w:sz="8" w:space="0" w:color="auto"/>
            </w:tcBorders>
            <w:vAlign w:val="center"/>
            <w:hideMark/>
          </w:tcPr>
          <w:p w14:paraId="534907FB"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63B30C9D"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01749305"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 </w:t>
            </w:r>
          </w:p>
        </w:tc>
        <w:tc>
          <w:tcPr>
            <w:tcW w:w="1287" w:type="dxa"/>
            <w:tcBorders>
              <w:top w:val="nil"/>
              <w:left w:val="nil"/>
              <w:bottom w:val="single" w:sz="8" w:space="0" w:color="auto"/>
              <w:right w:val="single" w:sz="8" w:space="0" w:color="auto"/>
            </w:tcBorders>
            <w:vAlign w:val="center"/>
            <w:hideMark/>
          </w:tcPr>
          <w:p w14:paraId="7038D891"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 </w:t>
            </w:r>
          </w:p>
        </w:tc>
        <w:tc>
          <w:tcPr>
            <w:tcW w:w="1691" w:type="dxa"/>
            <w:tcBorders>
              <w:top w:val="single" w:sz="4" w:space="0" w:color="auto"/>
              <w:left w:val="nil"/>
              <w:bottom w:val="single" w:sz="8" w:space="0" w:color="auto"/>
              <w:right w:val="single" w:sz="8" w:space="0" w:color="auto"/>
            </w:tcBorders>
            <w:noWrap/>
            <w:vAlign w:val="center"/>
            <w:hideMark/>
          </w:tcPr>
          <w:p w14:paraId="4FD923E5"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Ваа1</w:t>
            </w:r>
          </w:p>
        </w:tc>
        <w:tc>
          <w:tcPr>
            <w:tcW w:w="1700" w:type="dxa"/>
            <w:tcBorders>
              <w:top w:val="single" w:sz="4" w:space="0" w:color="auto"/>
              <w:left w:val="nil"/>
              <w:bottom w:val="single" w:sz="8" w:space="0" w:color="auto"/>
              <w:right w:val="single" w:sz="8" w:space="0" w:color="auto"/>
            </w:tcBorders>
            <w:vAlign w:val="center"/>
            <w:hideMark/>
          </w:tcPr>
          <w:p w14:paraId="5842D8BD"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701" w:type="dxa"/>
            <w:tcBorders>
              <w:top w:val="single" w:sz="4" w:space="0" w:color="auto"/>
              <w:left w:val="nil"/>
              <w:bottom w:val="single" w:sz="8" w:space="0" w:color="auto"/>
              <w:right w:val="single" w:sz="4" w:space="0" w:color="auto"/>
            </w:tcBorders>
            <w:noWrap/>
            <w:vAlign w:val="center"/>
            <w:hideMark/>
          </w:tcPr>
          <w:p w14:paraId="1781AE9E"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419" w:type="dxa"/>
            <w:vMerge w:val="restart"/>
            <w:tcBorders>
              <w:top w:val="single" w:sz="4" w:space="0" w:color="auto"/>
              <w:left w:val="single" w:sz="4" w:space="0" w:color="auto"/>
              <w:bottom w:val="single" w:sz="4" w:space="0" w:color="auto"/>
              <w:right w:val="single" w:sz="4" w:space="0" w:color="auto"/>
            </w:tcBorders>
            <w:noWrap/>
            <w:vAlign w:val="center"/>
            <w:hideMark/>
          </w:tcPr>
          <w:p w14:paraId="6514A2B6"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Рейтинговая группа I</w:t>
            </w:r>
          </w:p>
        </w:tc>
      </w:tr>
      <w:tr w:rsidR="000C1E0E" w14:paraId="7C807B5A"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66F7BD79"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 </w:t>
            </w:r>
          </w:p>
        </w:tc>
        <w:tc>
          <w:tcPr>
            <w:tcW w:w="1287" w:type="dxa"/>
            <w:tcBorders>
              <w:top w:val="nil"/>
              <w:left w:val="nil"/>
              <w:bottom w:val="single" w:sz="8" w:space="0" w:color="auto"/>
              <w:right w:val="single" w:sz="8" w:space="0" w:color="auto"/>
            </w:tcBorders>
            <w:vAlign w:val="center"/>
            <w:hideMark/>
          </w:tcPr>
          <w:p w14:paraId="492CAE03"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 </w:t>
            </w:r>
          </w:p>
        </w:tc>
        <w:tc>
          <w:tcPr>
            <w:tcW w:w="1691" w:type="dxa"/>
            <w:tcBorders>
              <w:top w:val="nil"/>
              <w:left w:val="nil"/>
              <w:bottom w:val="single" w:sz="8" w:space="0" w:color="auto"/>
              <w:right w:val="single" w:sz="8" w:space="0" w:color="auto"/>
            </w:tcBorders>
            <w:noWrap/>
            <w:vAlign w:val="center"/>
            <w:hideMark/>
          </w:tcPr>
          <w:p w14:paraId="521C87E0"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Ваа2</w:t>
            </w:r>
          </w:p>
        </w:tc>
        <w:tc>
          <w:tcPr>
            <w:tcW w:w="1700" w:type="dxa"/>
            <w:tcBorders>
              <w:top w:val="nil"/>
              <w:left w:val="nil"/>
              <w:bottom w:val="single" w:sz="8" w:space="0" w:color="auto"/>
              <w:right w:val="single" w:sz="8" w:space="0" w:color="auto"/>
            </w:tcBorders>
            <w:vAlign w:val="center"/>
            <w:hideMark/>
          </w:tcPr>
          <w:p w14:paraId="2B956D99"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701" w:type="dxa"/>
            <w:tcBorders>
              <w:top w:val="nil"/>
              <w:left w:val="nil"/>
              <w:bottom w:val="single" w:sz="8" w:space="0" w:color="auto"/>
              <w:right w:val="single" w:sz="4" w:space="0" w:color="auto"/>
            </w:tcBorders>
            <w:noWrap/>
            <w:vAlign w:val="center"/>
            <w:hideMark/>
          </w:tcPr>
          <w:p w14:paraId="1E9A5C87"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DC67A2"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01BE00B1"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6809332A"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AAA(RU)</w:t>
            </w:r>
          </w:p>
        </w:tc>
        <w:tc>
          <w:tcPr>
            <w:tcW w:w="1287" w:type="dxa"/>
            <w:tcBorders>
              <w:top w:val="nil"/>
              <w:left w:val="nil"/>
              <w:bottom w:val="single" w:sz="8" w:space="0" w:color="auto"/>
              <w:right w:val="single" w:sz="8" w:space="0" w:color="auto"/>
            </w:tcBorders>
            <w:vAlign w:val="center"/>
            <w:hideMark/>
          </w:tcPr>
          <w:p w14:paraId="43FCBBAF"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ruAAA</w:t>
            </w:r>
          </w:p>
        </w:tc>
        <w:tc>
          <w:tcPr>
            <w:tcW w:w="1691" w:type="dxa"/>
            <w:tcBorders>
              <w:top w:val="nil"/>
              <w:left w:val="nil"/>
              <w:bottom w:val="single" w:sz="8" w:space="0" w:color="auto"/>
              <w:right w:val="single" w:sz="8" w:space="0" w:color="auto"/>
            </w:tcBorders>
            <w:noWrap/>
            <w:vAlign w:val="center"/>
            <w:hideMark/>
          </w:tcPr>
          <w:p w14:paraId="51B8F1DA"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Ваа3</w:t>
            </w:r>
          </w:p>
        </w:tc>
        <w:tc>
          <w:tcPr>
            <w:tcW w:w="1700" w:type="dxa"/>
            <w:tcBorders>
              <w:top w:val="nil"/>
              <w:left w:val="nil"/>
              <w:bottom w:val="single" w:sz="8" w:space="0" w:color="auto"/>
              <w:right w:val="single" w:sz="8" w:space="0" w:color="auto"/>
            </w:tcBorders>
            <w:vAlign w:val="center"/>
            <w:hideMark/>
          </w:tcPr>
          <w:p w14:paraId="3F232AC3"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701" w:type="dxa"/>
            <w:tcBorders>
              <w:top w:val="nil"/>
              <w:left w:val="nil"/>
              <w:bottom w:val="single" w:sz="8" w:space="0" w:color="auto"/>
              <w:right w:val="single" w:sz="4" w:space="0" w:color="auto"/>
            </w:tcBorders>
            <w:noWrap/>
            <w:vAlign w:val="center"/>
            <w:hideMark/>
          </w:tcPr>
          <w:p w14:paraId="432C4A44"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29DADD"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283AB6AC"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712D46D0" w14:textId="77777777" w:rsidR="000C1E0E" w:rsidRDefault="000C1E0E" w:rsidP="0098752B">
            <w:pPr>
              <w:spacing w:after="200" w:line="360" w:lineRule="auto"/>
              <w:jc w:val="center"/>
              <w:rPr>
                <w:rFonts w:ascii="Times New Roman" w:eastAsiaTheme="minorHAnsi" w:hAnsi="Times New Roman"/>
                <w:sz w:val="24"/>
                <w:szCs w:val="24"/>
                <w:lang w:val="en-US" w:eastAsia="en-US"/>
              </w:rPr>
            </w:pPr>
            <w:r>
              <w:rPr>
                <w:rFonts w:ascii="Times New Roman" w:eastAsiaTheme="minorHAnsi" w:hAnsi="Times New Roman"/>
                <w:sz w:val="24"/>
                <w:szCs w:val="24"/>
                <w:lang w:val="en-US" w:eastAsia="en-US"/>
              </w:rPr>
              <w:t>AA+(RU), AA(RU), AA-(RU)</w:t>
            </w:r>
          </w:p>
        </w:tc>
        <w:tc>
          <w:tcPr>
            <w:tcW w:w="1287" w:type="dxa"/>
            <w:tcBorders>
              <w:top w:val="nil"/>
              <w:left w:val="nil"/>
              <w:bottom w:val="single" w:sz="8" w:space="0" w:color="auto"/>
              <w:right w:val="single" w:sz="8" w:space="0" w:color="auto"/>
            </w:tcBorders>
            <w:vAlign w:val="center"/>
            <w:hideMark/>
          </w:tcPr>
          <w:p w14:paraId="71028276"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ruAA+, ruAA</w:t>
            </w:r>
          </w:p>
        </w:tc>
        <w:tc>
          <w:tcPr>
            <w:tcW w:w="1691" w:type="dxa"/>
            <w:tcBorders>
              <w:top w:val="nil"/>
              <w:left w:val="nil"/>
              <w:bottom w:val="single" w:sz="8" w:space="0" w:color="auto"/>
              <w:right w:val="single" w:sz="8" w:space="0" w:color="auto"/>
            </w:tcBorders>
            <w:noWrap/>
            <w:vAlign w:val="center"/>
            <w:hideMark/>
          </w:tcPr>
          <w:p w14:paraId="0853E507"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Ва1</w:t>
            </w:r>
          </w:p>
        </w:tc>
        <w:tc>
          <w:tcPr>
            <w:tcW w:w="1700" w:type="dxa"/>
            <w:tcBorders>
              <w:top w:val="nil"/>
              <w:left w:val="nil"/>
              <w:bottom w:val="single" w:sz="8" w:space="0" w:color="auto"/>
              <w:right w:val="single" w:sz="8" w:space="0" w:color="auto"/>
            </w:tcBorders>
            <w:vAlign w:val="center"/>
            <w:hideMark/>
          </w:tcPr>
          <w:p w14:paraId="1585F046"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701" w:type="dxa"/>
            <w:tcBorders>
              <w:top w:val="nil"/>
              <w:left w:val="nil"/>
              <w:bottom w:val="single" w:sz="8" w:space="0" w:color="auto"/>
              <w:right w:val="single" w:sz="8" w:space="0" w:color="auto"/>
            </w:tcBorders>
            <w:noWrap/>
            <w:vAlign w:val="center"/>
            <w:hideMark/>
          </w:tcPr>
          <w:p w14:paraId="4E5F5FC8"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419" w:type="dxa"/>
            <w:vMerge w:val="restart"/>
            <w:tcBorders>
              <w:top w:val="single" w:sz="4" w:space="0" w:color="auto"/>
              <w:left w:val="single" w:sz="8" w:space="0" w:color="auto"/>
              <w:bottom w:val="single" w:sz="8" w:space="0" w:color="000000"/>
              <w:right w:val="single" w:sz="8" w:space="0" w:color="auto"/>
            </w:tcBorders>
            <w:vAlign w:val="center"/>
            <w:hideMark/>
          </w:tcPr>
          <w:p w14:paraId="3BEA57E5"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Рейтинговая группа II</w:t>
            </w:r>
          </w:p>
        </w:tc>
      </w:tr>
      <w:tr w:rsidR="000C1E0E" w14:paraId="7A516AD3"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6F7EAD16"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A+(RU), A(RU)</w:t>
            </w:r>
          </w:p>
        </w:tc>
        <w:tc>
          <w:tcPr>
            <w:tcW w:w="1287" w:type="dxa"/>
            <w:tcBorders>
              <w:top w:val="nil"/>
              <w:left w:val="nil"/>
              <w:bottom w:val="single" w:sz="8" w:space="0" w:color="auto"/>
              <w:right w:val="single" w:sz="8" w:space="0" w:color="auto"/>
            </w:tcBorders>
            <w:vAlign w:val="center"/>
            <w:hideMark/>
          </w:tcPr>
          <w:p w14:paraId="69C32591"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ruAA-, ruA+</w:t>
            </w:r>
          </w:p>
        </w:tc>
        <w:tc>
          <w:tcPr>
            <w:tcW w:w="1691" w:type="dxa"/>
            <w:tcBorders>
              <w:top w:val="nil"/>
              <w:left w:val="nil"/>
              <w:bottom w:val="single" w:sz="8" w:space="0" w:color="auto"/>
              <w:right w:val="single" w:sz="8" w:space="0" w:color="auto"/>
            </w:tcBorders>
            <w:noWrap/>
            <w:vAlign w:val="center"/>
            <w:hideMark/>
          </w:tcPr>
          <w:p w14:paraId="7E852030"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Ва2</w:t>
            </w:r>
          </w:p>
        </w:tc>
        <w:tc>
          <w:tcPr>
            <w:tcW w:w="1700" w:type="dxa"/>
            <w:tcBorders>
              <w:top w:val="nil"/>
              <w:left w:val="nil"/>
              <w:bottom w:val="single" w:sz="8" w:space="0" w:color="auto"/>
              <w:right w:val="single" w:sz="8" w:space="0" w:color="auto"/>
            </w:tcBorders>
            <w:vAlign w:val="center"/>
            <w:hideMark/>
          </w:tcPr>
          <w:p w14:paraId="5430BC96"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701" w:type="dxa"/>
            <w:tcBorders>
              <w:top w:val="nil"/>
              <w:left w:val="nil"/>
              <w:bottom w:val="single" w:sz="8" w:space="0" w:color="auto"/>
              <w:right w:val="single" w:sz="8" w:space="0" w:color="auto"/>
            </w:tcBorders>
            <w:noWrap/>
            <w:vAlign w:val="center"/>
            <w:hideMark/>
          </w:tcPr>
          <w:p w14:paraId="6CBF9697"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0" w:type="auto"/>
            <w:vMerge/>
            <w:tcBorders>
              <w:top w:val="single" w:sz="4" w:space="0" w:color="auto"/>
              <w:left w:val="single" w:sz="8" w:space="0" w:color="auto"/>
              <w:bottom w:val="single" w:sz="8" w:space="0" w:color="000000"/>
              <w:right w:val="single" w:sz="8" w:space="0" w:color="auto"/>
            </w:tcBorders>
            <w:vAlign w:val="center"/>
            <w:hideMark/>
          </w:tcPr>
          <w:p w14:paraId="0D00FF5E"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69AB4060"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207C0AE7"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A-(RU), BBB+(RU)</w:t>
            </w:r>
          </w:p>
        </w:tc>
        <w:tc>
          <w:tcPr>
            <w:tcW w:w="1287" w:type="dxa"/>
            <w:tcBorders>
              <w:top w:val="nil"/>
              <w:left w:val="nil"/>
              <w:bottom w:val="single" w:sz="8" w:space="0" w:color="auto"/>
              <w:right w:val="single" w:sz="8" w:space="0" w:color="auto"/>
            </w:tcBorders>
            <w:vAlign w:val="center"/>
            <w:hideMark/>
          </w:tcPr>
          <w:p w14:paraId="51BB091F"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ruA, ruA-, ruBBB+</w:t>
            </w:r>
          </w:p>
        </w:tc>
        <w:tc>
          <w:tcPr>
            <w:tcW w:w="1691" w:type="dxa"/>
            <w:tcBorders>
              <w:top w:val="nil"/>
              <w:left w:val="nil"/>
              <w:bottom w:val="single" w:sz="8" w:space="0" w:color="auto"/>
              <w:right w:val="single" w:sz="8" w:space="0" w:color="auto"/>
            </w:tcBorders>
            <w:vAlign w:val="center"/>
            <w:hideMark/>
          </w:tcPr>
          <w:p w14:paraId="0F59D5DD"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Ва3</w:t>
            </w:r>
          </w:p>
        </w:tc>
        <w:tc>
          <w:tcPr>
            <w:tcW w:w="1700" w:type="dxa"/>
            <w:tcBorders>
              <w:top w:val="nil"/>
              <w:left w:val="nil"/>
              <w:bottom w:val="single" w:sz="8" w:space="0" w:color="auto"/>
              <w:right w:val="single" w:sz="8" w:space="0" w:color="auto"/>
            </w:tcBorders>
            <w:vAlign w:val="center"/>
            <w:hideMark/>
          </w:tcPr>
          <w:p w14:paraId="046E2C79"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701" w:type="dxa"/>
            <w:tcBorders>
              <w:top w:val="nil"/>
              <w:left w:val="nil"/>
              <w:bottom w:val="single" w:sz="8" w:space="0" w:color="auto"/>
              <w:right w:val="single" w:sz="8" w:space="0" w:color="auto"/>
            </w:tcBorders>
            <w:vAlign w:val="center"/>
            <w:hideMark/>
          </w:tcPr>
          <w:p w14:paraId="11ACBF61"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0" w:type="auto"/>
            <w:vMerge/>
            <w:tcBorders>
              <w:top w:val="single" w:sz="4" w:space="0" w:color="auto"/>
              <w:left w:val="single" w:sz="8" w:space="0" w:color="auto"/>
              <w:bottom w:val="single" w:sz="8" w:space="0" w:color="000000"/>
              <w:right w:val="single" w:sz="8" w:space="0" w:color="auto"/>
            </w:tcBorders>
            <w:vAlign w:val="center"/>
            <w:hideMark/>
          </w:tcPr>
          <w:p w14:paraId="2B36A02A"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73F4014C"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69D189E6"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BBB(RU), BBB-(RU)</w:t>
            </w:r>
          </w:p>
        </w:tc>
        <w:tc>
          <w:tcPr>
            <w:tcW w:w="1287" w:type="dxa"/>
            <w:tcBorders>
              <w:top w:val="nil"/>
              <w:left w:val="nil"/>
              <w:bottom w:val="single" w:sz="8" w:space="0" w:color="auto"/>
              <w:right w:val="single" w:sz="8" w:space="0" w:color="auto"/>
            </w:tcBorders>
            <w:vAlign w:val="center"/>
            <w:hideMark/>
          </w:tcPr>
          <w:p w14:paraId="26A43365"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ruBBB</w:t>
            </w:r>
          </w:p>
        </w:tc>
        <w:tc>
          <w:tcPr>
            <w:tcW w:w="1691" w:type="dxa"/>
            <w:tcBorders>
              <w:top w:val="nil"/>
              <w:left w:val="nil"/>
              <w:bottom w:val="single" w:sz="8" w:space="0" w:color="auto"/>
              <w:right w:val="single" w:sz="8" w:space="0" w:color="auto"/>
            </w:tcBorders>
            <w:vAlign w:val="center"/>
            <w:hideMark/>
          </w:tcPr>
          <w:p w14:paraId="04546051"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В1</w:t>
            </w:r>
          </w:p>
        </w:tc>
        <w:tc>
          <w:tcPr>
            <w:tcW w:w="1700" w:type="dxa"/>
            <w:tcBorders>
              <w:top w:val="nil"/>
              <w:left w:val="nil"/>
              <w:bottom w:val="single" w:sz="8" w:space="0" w:color="auto"/>
              <w:right w:val="single" w:sz="8" w:space="0" w:color="auto"/>
            </w:tcBorders>
            <w:vAlign w:val="center"/>
            <w:hideMark/>
          </w:tcPr>
          <w:p w14:paraId="33FFC6DD"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1701" w:type="dxa"/>
            <w:tcBorders>
              <w:top w:val="nil"/>
              <w:left w:val="nil"/>
              <w:bottom w:val="single" w:sz="8" w:space="0" w:color="auto"/>
              <w:right w:val="single" w:sz="8" w:space="0" w:color="auto"/>
            </w:tcBorders>
            <w:vAlign w:val="center"/>
            <w:hideMark/>
          </w:tcPr>
          <w:p w14:paraId="767CD20A"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1419" w:type="dxa"/>
            <w:vMerge w:val="restart"/>
            <w:tcBorders>
              <w:top w:val="nil"/>
              <w:left w:val="single" w:sz="8" w:space="0" w:color="auto"/>
              <w:bottom w:val="single" w:sz="8" w:space="0" w:color="000000"/>
              <w:right w:val="single" w:sz="8" w:space="0" w:color="auto"/>
            </w:tcBorders>
            <w:vAlign w:val="center"/>
            <w:hideMark/>
          </w:tcPr>
          <w:p w14:paraId="2D92CDF5" w14:textId="77777777" w:rsidR="000C1E0E" w:rsidRDefault="000C1E0E" w:rsidP="0098752B">
            <w:pPr>
              <w:spacing w:after="200" w:line="360" w:lineRule="auto"/>
              <w:jc w:val="center"/>
              <w:rPr>
                <w:rFonts w:ascii="Times New Roman" w:eastAsiaTheme="minorHAnsi" w:hAnsi="Times New Roman"/>
                <w:b/>
                <w:bCs/>
                <w:sz w:val="24"/>
                <w:szCs w:val="24"/>
                <w:lang w:val="en-US" w:eastAsia="en-US"/>
              </w:rPr>
            </w:pPr>
            <w:r>
              <w:rPr>
                <w:rFonts w:ascii="Times New Roman" w:eastAsiaTheme="minorHAnsi" w:hAnsi="Times New Roman"/>
                <w:b/>
                <w:bCs/>
                <w:sz w:val="24"/>
                <w:szCs w:val="24"/>
                <w:lang w:eastAsia="en-US"/>
              </w:rPr>
              <w:t>Рейтинговая группа II</w:t>
            </w:r>
            <w:r>
              <w:rPr>
                <w:rFonts w:ascii="Times New Roman" w:eastAsiaTheme="minorHAnsi" w:hAnsi="Times New Roman"/>
                <w:b/>
                <w:bCs/>
                <w:sz w:val="24"/>
                <w:szCs w:val="24"/>
                <w:lang w:val="en-US" w:eastAsia="en-US"/>
              </w:rPr>
              <w:t>I</w:t>
            </w:r>
          </w:p>
        </w:tc>
      </w:tr>
      <w:tr w:rsidR="000C1E0E" w14:paraId="68DB888A"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72E2C3E2"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BB+(RU)</w:t>
            </w:r>
          </w:p>
        </w:tc>
        <w:tc>
          <w:tcPr>
            <w:tcW w:w="1287" w:type="dxa"/>
            <w:tcBorders>
              <w:top w:val="nil"/>
              <w:left w:val="nil"/>
              <w:bottom w:val="single" w:sz="8" w:space="0" w:color="auto"/>
              <w:right w:val="single" w:sz="8" w:space="0" w:color="auto"/>
            </w:tcBorders>
            <w:vAlign w:val="center"/>
            <w:hideMark/>
          </w:tcPr>
          <w:p w14:paraId="008197F0"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ruBBB-, ruBB+</w:t>
            </w:r>
          </w:p>
        </w:tc>
        <w:tc>
          <w:tcPr>
            <w:tcW w:w="1691" w:type="dxa"/>
            <w:tcBorders>
              <w:top w:val="nil"/>
              <w:left w:val="nil"/>
              <w:bottom w:val="single" w:sz="8" w:space="0" w:color="auto"/>
              <w:right w:val="single" w:sz="8" w:space="0" w:color="auto"/>
            </w:tcBorders>
            <w:vAlign w:val="center"/>
            <w:hideMark/>
          </w:tcPr>
          <w:p w14:paraId="06AE75C8"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В2</w:t>
            </w:r>
          </w:p>
        </w:tc>
        <w:tc>
          <w:tcPr>
            <w:tcW w:w="1700" w:type="dxa"/>
            <w:tcBorders>
              <w:top w:val="nil"/>
              <w:left w:val="nil"/>
              <w:bottom w:val="single" w:sz="8" w:space="0" w:color="auto"/>
              <w:right w:val="single" w:sz="8" w:space="0" w:color="auto"/>
            </w:tcBorders>
            <w:vAlign w:val="center"/>
            <w:hideMark/>
          </w:tcPr>
          <w:p w14:paraId="6DE937D8"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1701" w:type="dxa"/>
            <w:tcBorders>
              <w:top w:val="nil"/>
              <w:left w:val="nil"/>
              <w:bottom w:val="single" w:sz="8" w:space="0" w:color="auto"/>
              <w:right w:val="single" w:sz="8" w:space="0" w:color="auto"/>
            </w:tcBorders>
            <w:vAlign w:val="center"/>
            <w:hideMark/>
          </w:tcPr>
          <w:p w14:paraId="27105C08"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0" w:type="auto"/>
            <w:vMerge/>
            <w:tcBorders>
              <w:top w:val="nil"/>
              <w:left w:val="single" w:sz="8" w:space="0" w:color="auto"/>
              <w:bottom w:val="single" w:sz="8" w:space="0" w:color="000000"/>
              <w:right w:val="single" w:sz="8" w:space="0" w:color="auto"/>
            </w:tcBorders>
            <w:vAlign w:val="center"/>
            <w:hideMark/>
          </w:tcPr>
          <w:p w14:paraId="39A7790C" w14:textId="77777777" w:rsidR="000C1E0E" w:rsidRDefault="000C1E0E" w:rsidP="0098752B">
            <w:pPr>
              <w:spacing w:line="240" w:lineRule="auto"/>
              <w:jc w:val="left"/>
              <w:rPr>
                <w:rFonts w:ascii="Times New Roman" w:eastAsiaTheme="minorHAnsi" w:hAnsi="Times New Roman"/>
                <w:b/>
                <w:bCs/>
                <w:sz w:val="24"/>
                <w:szCs w:val="24"/>
                <w:lang w:val="en-US" w:eastAsia="en-US"/>
              </w:rPr>
            </w:pPr>
          </w:p>
        </w:tc>
      </w:tr>
      <w:tr w:rsidR="000C1E0E" w14:paraId="7B1C539B"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49120567"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BB(RU)</w:t>
            </w:r>
          </w:p>
        </w:tc>
        <w:tc>
          <w:tcPr>
            <w:tcW w:w="1287" w:type="dxa"/>
            <w:tcBorders>
              <w:top w:val="nil"/>
              <w:left w:val="nil"/>
              <w:bottom w:val="single" w:sz="8" w:space="0" w:color="auto"/>
              <w:right w:val="single" w:sz="8" w:space="0" w:color="auto"/>
            </w:tcBorders>
            <w:vAlign w:val="center"/>
            <w:hideMark/>
          </w:tcPr>
          <w:p w14:paraId="53661024"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ruBB</w:t>
            </w:r>
          </w:p>
        </w:tc>
        <w:tc>
          <w:tcPr>
            <w:tcW w:w="1691" w:type="dxa"/>
            <w:tcBorders>
              <w:top w:val="nil"/>
              <w:left w:val="nil"/>
              <w:bottom w:val="single" w:sz="8" w:space="0" w:color="auto"/>
              <w:right w:val="single" w:sz="8" w:space="0" w:color="auto"/>
            </w:tcBorders>
            <w:vAlign w:val="center"/>
            <w:hideMark/>
          </w:tcPr>
          <w:p w14:paraId="0D86191C"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B3</w:t>
            </w:r>
          </w:p>
        </w:tc>
        <w:tc>
          <w:tcPr>
            <w:tcW w:w="1700" w:type="dxa"/>
            <w:tcBorders>
              <w:top w:val="nil"/>
              <w:left w:val="nil"/>
              <w:bottom w:val="single" w:sz="8" w:space="0" w:color="auto"/>
              <w:right w:val="single" w:sz="8" w:space="0" w:color="auto"/>
            </w:tcBorders>
            <w:vAlign w:val="center"/>
            <w:hideMark/>
          </w:tcPr>
          <w:p w14:paraId="6C7E0D74"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w:t>
            </w:r>
          </w:p>
        </w:tc>
        <w:tc>
          <w:tcPr>
            <w:tcW w:w="1701" w:type="dxa"/>
            <w:tcBorders>
              <w:top w:val="nil"/>
              <w:left w:val="nil"/>
              <w:bottom w:val="single" w:sz="8" w:space="0" w:color="auto"/>
              <w:right w:val="single" w:sz="8" w:space="0" w:color="auto"/>
            </w:tcBorders>
            <w:vAlign w:val="center"/>
            <w:hideMark/>
          </w:tcPr>
          <w:p w14:paraId="3AD70384"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w:t>
            </w:r>
          </w:p>
        </w:tc>
        <w:tc>
          <w:tcPr>
            <w:tcW w:w="0" w:type="auto"/>
            <w:vMerge/>
            <w:tcBorders>
              <w:top w:val="nil"/>
              <w:left w:val="single" w:sz="8" w:space="0" w:color="auto"/>
              <w:bottom w:val="single" w:sz="8" w:space="0" w:color="000000"/>
              <w:right w:val="single" w:sz="8" w:space="0" w:color="auto"/>
            </w:tcBorders>
            <w:vAlign w:val="center"/>
            <w:hideMark/>
          </w:tcPr>
          <w:p w14:paraId="65AEB9D7" w14:textId="77777777" w:rsidR="000C1E0E" w:rsidRDefault="000C1E0E" w:rsidP="0098752B">
            <w:pPr>
              <w:spacing w:line="240" w:lineRule="auto"/>
              <w:jc w:val="left"/>
              <w:rPr>
                <w:rFonts w:ascii="Times New Roman" w:eastAsiaTheme="minorHAnsi" w:hAnsi="Times New Roman"/>
                <w:b/>
                <w:bCs/>
                <w:sz w:val="24"/>
                <w:szCs w:val="24"/>
                <w:lang w:val="en-US" w:eastAsia="en-US"/>
              </w:rPr>
            </w:pPr>
          </w:p>
        </w:tc>
      </w:tr>
      <w:tr w:rsidR="000C1E0E" w14:paraId="54018077" w14:textId="77777777" w:rsidTr="0098752B">
        <w:trPr>
          <w:trHeight w:val="345"/>
          <w:jc w:val="center"/>
        </w:trPr>
        <w:tc>
          <w:tcPr>
            <w:tcW w:w="8212" w:type="dxa"/>
            <w:gridSpan w:val="5"/>
            <w:tcBorders>
              <w:top w:val="single" w:sz="8" w:space="0" w:color="auto"/>
              <w:left w:val="single" w:sz="8" w:space="0" w:color="auto"/>
              <w:bottom w:val="single" w:sz="8" w:space="0" w:color="auto"/>
              <w:right w:val="single" w:sz="8" w:space="0" w:color="000000"/>
            </w:tcBorders>
            <w:vAlign w:val="center"/>
            <w:hideMark/>
          </w:tcPr>
          <w:p w14:paraId="08C04DBC"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Более низкий рейтинг / рейтинг отсутствует</w:t>
            </w:r>
          </w:p>
        </w:tc>
        <w:tc>
          <w:tcPr>
            <w:tcW w:w="1419" w:type="dxa"/>
            <w:tcBorders>
              <w:top w:val="nil"/>
              <w:left w:val="nil"/>
              <w:bottom w:val="single" w:sz="8" w:space="0" w:color="auto"/>
              <w:right w:val="single" w:sz="8" w:space="0" w:color="auto"/>
            </w:tcBorders>
            <w:noWrap/>
            <w:vAlign w:val="center"/>
            <w:hideMark/>
          </w:tcPr>
          <w:p w14:paraId="5472D27A" w14:textId="77777777" w:rsidR="000C1E0E" w:rsidRDefault="000C1E0E" w:rsidP="0098752B">
            <w:pPr>
              <w:spacing w:after="200" w:line="360" w:lineRule="auto"/>
              <w:jc w:val="center"/>
              <w:rPr>
                <w:rFonts w:ascii="Times New Roman" w:eastAsiaTheme="minorHAnsi" w:hAnsi="Times New Roman"/>
                <w:b/>
                <w:bCs/>
                <w:sz w:val="24"/>
                <w:szCs w:val="24"/>
                <w:lang w:val="en-US" w:eastAsia="en-US"/>
              </w:rPr>
            </w:pPr>
            <w:r>
              <w:rPr>
                <w:rFonts w:ascii="Times New Roman" w:eastAsiaTheme="minorHAnsi" w:hAnsi="Times New Roman"/>
                <w:b/>
                <w:bCs/>
                <w:sz w:val="24"/>
                <w:szCs w:val="24"/>
                <w:lang w:eastAsia="en-US"/>
              </w:rPr>
              <w:t>Рейтинговая группа I</w:t>
            </w:r>
            <w:r>
              <w:rPr>
                <w:rFonts w:ascii="Times New Roman" w:eastAsiaTheme="minorHAnsi" w:hAnsi="Times New Roman"/>
                <w:b/>
                <w:bCs/>
                <w:sz w:val="24"/>
                <w:szCs w:val="24"/>
                <w:lang w:val="en-US" w:eastAsia="en-US"/>
              </w:rPr>
              <w:t>V</w:t>
            </w:r>
          </w:p>
        </w:tc>
      </w:tr>
    </w:tbl>
    <w:p w14:paraId="58AA2F85" w14:textId="77777777" w:rsidR="000C1E0E" w:rsidRDefault="000C1E0E" w:rsidP="000C1E0E">
      <w:pPr>
        <w:spacing w:after="120" w:line="360" w:lineRule="auto"/>
        <w:jc w:val="left"/>
        <w:rPr>
          <w:rFonts w:ascii="Times New Roman" w:eastAsiaTheme="minorHAnsi" w:hAnsi="Times New Roman"/>
          <w:sz w:val="24"/>
          <w:szCs w:val="24"/>
          <w:lang w:eastAsia="en-US"/>
        </w:rPr>
      </w:pPr>
    </w:p>
    <w:p w14:paraId="13EDD670"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Кредитный спред для рейтинговых групп рассчитывается на дату определения справедливой стоимости, на основании данных облигационных индексов, раскрываемых ПАО «Московская биржа» по итогам каждого торгового дня. При вычислении кредитного спреда на дату определения справедливой стоимости используется медианное значение кредитного спреда за последние 20 торговых дней включая дату определения справедливой стоимости.</w:t>
      </w:r>
    </w:p>
    <w:p w14:paraId="2648475A"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Для расчета значения кредитного спреда соответствующей рейтинговой группы используются значения доходности следующих индексов ПАО «Московская биржа», раскрываемых по итогам каждого торгового дня:</w:t>
      </w:r>
    </w:p>
    <w:p w14:paraId="3DE6182B" w14:textId="77777777" w:rsidR="000C1E0E" w:rsidRDefault="000C1E0E" w:rsidP="000C1E0E">
      <w:pPr>
        <w:numPr>
          <w:ilvl w:val="0"/>
          <w:numId w:val="14"/>
        </w:numPr>
        <w:spacing w:after="200" w:line="360" w:lineRule="auto"/>
        <w:ind w:left="284" w:hanging="284"/>
        <w:contextualSpacing/>
        <w:jc w:val="left"/>
        <w:rPr>
          <w:rFonts w:ascii="Times New Roman" w:eastAsia="Calibri" w:hAnsi="Times New Roman"/>
          <w:sz w:val="24"/>
          <w:szCs w:val="24"/>
          <w:lang w:eastAsia="en-US"/>
        </w:rPr>
      </w:pPr>
      <w:r>
        <w:rPr>
          <w:rFonts w:ascii="Times New Roman" w:eastAsiaTheme="minorHAnsi" w:hAnsi="Times New Roman"/>
          <w:sz w:val="24"/>
          <w:szCs w:val="24"/>
          <w:lang w:eastAsia="en-US"/>
        </w:rPr>
        <w:t>Индекс государственных облигаций (1-3 года),</w:t>
      </w:r>
      <w:r>
        <w:rPr>
          <w:rFonts w:ascii="Times New Roman" w:eastAsia="Calibri" w:hAnsi="Times New Roman"/>
          <w:sz w:val="24"/>
          <w:szCs w:val="24"/>
          <w:lang w:eastAsia="en-US"/>
        </w:rPr>
        <w:t xml:space="preserve"> </w:t>
      </w:r>
    </w:p>
    <w:p w14:paraId="3F3A069C" w14:textId="77777777" w:rsidR="000C1E0E" w:rsidRDefault="000C1E0E" w:rsidP="000C1E0E">
      <w:pPr>
        <w:spacing w:line="360" w:lineRule="auto"/>
        <w:ind w:firstLine="708"/>
        <w:rPr>
          <w:rFonts w:ascii="Times New Roman" w:eastAsiaTheme="minorHAnsi" w:hAnsi="Times New Roman"/>
          <w:b/>
          <w:sz w:val="24"/>
          <w:szCs w:val="24"/>
          <w:lang w:eastAsia="en-US"/>
        </w:rPr>
      </w:pPr>
      <w:r>
        <w:rPr>
          <w:rFonts w:ascii="Times New Roman" w:eastAsiaTheme="minorHAnsi" w:hAnsi="Times New Roman"/>
          <w:sz w:val="24"/>
          <w:szCs w:val="24"/>
          <w:lang w:eastAsia="en-US"/>
        </w:rPr>
        <w:t xml:space="preserve">Тикер - </w:t>
      </w:r>
      <w:r>
        <w:rPr>
          <w:rFonts w:ascii="Times New Roman" w:eastAsiaTheme="minorHAnsi" w:hAnsi="Times New Roman"/>
          <w:b/>
          <w:sz w:val="24"/>
          <w:szCs w:val="24"/>
          <w:lang w:eastAsia="en-US"/>
        </w:rPr>
        <w:t>RUGBICP3Y;</w:t>
      </w:r>
    </w:p>
    <w:p w14:paraId="301C521C" w14:textId="77777777" w:rsidR="000C1E0E" w:rsidRDefault="000C1E0E" w:rsidP="000C1E0E">
      <w:pPr>
        <w:spacing w:line="360" w:lineRule="auto"/>
        <w:ind w:firstLine="708"/>
        <w:rPr>
          <w:rFonts w:ascii="Times New Roman" w:eastAsiaTheme="minorHAnsi" w:hAnsi="Times New Roman"/>
          <w:sz w:val="24"/>
          <w:szCs w:val="24"/>
          <w:lang w:eastAsia="en-US"/>
        </w:rPr>
      </w:pPr>
    </w:p>
    <w:p w14:paraId="4986C1EE" w14:textId="77777777" w:rsidR="000C1E0E" w:rsidRDefault="000C1E0E" w:rsidP="000C1E0E">
      <w:pPr>
        <w:numPr>
          <w:ilvl w:val="0"/>
          <w:numId w:val="14"/>
        </w:numPr>
        <w:spacing w:after="200" w:line="360" w:lineRule="auto"/>
        <w:ind w:left="284" w:hanging="284"/>
        <w:contextualSpacing/>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Рейтинговая группа I - Индекс корпоративных облигаций (1-3 года, рейтинг ≥ BBB-), </w:t>
      </w:r>
    </w:p>
    <w:p w14:paraId="51CAA56C" w14:textId="77777777" w:rsidR="000C1E0E" w:rsidRDefault="000C1E0E" w:rsidP="000C1E0E">
      <w:pPr>
        <w:spacing w:line="360" w:lineRule="auto"/>
        <w:ind w:firstLine="708"/>
        <w:rPr>
          <w:rFonts w:ascii="Times New Roman" w:eastAsiaTheme="minorHAnsi" w:hAnsi="Times New Roman"/>
          <w:b/>
          <w:sz w:val="24"/>
          <w:szCs w:val="24"/>
          <w:lang w:eastAsia="en-US"/>
        </w:rPr>
      </w:pPr>
      <w:r>
        <w:rPr>
          <w:rFonts w:ascii="Times New Roman" w:eastAsiaTheme="minorHAnsi" w:hAnsi="Times New Roman"/>
          <w:sz w:val="24"/>
          <w:szCs w:val="24"/>
          <w:lang w:eastAsia="en-US"/>
        </w:rPr>
        <w:t xml:space="preserve">Тикер - </w:t>
      </w:r>
      <w:r>
        <w:rPr>
          <w:rFonts w:ascii="Times New Roman" w:eastAsiaTheme="minorHAnsi" w:hAnsi="Times New Roman"/>
          <w:b/>
          <w:sz w:val="24"/>
          <w:szCs w:val="24"/>
          <w:lang w:eastAsia="en-US"/>
        </w:rPr>
        <w:t>RUCBICPBBB3Y;</w:t>
      </w:r>
    </w:p>
    <w:p w14:paraId="6638F188" w14:textId="77777777" w:rsidR="000C1E0E" w:rsidRDefault="000C1E0E" w:rsidP="000C1E0E">
      <w:pPr>
        <w:spacing w:line="360" w:lineRule="auto"/>
        <w:ind w:firstLine="708"/>
        <w:rPr>
          <w:rFonts w:ascii="Times New Roman" w:eastAsiaTheme="minorHAnsi" w:hAnsi="Times New Roman"/>
          <w:sz w:val="24"/>
          <w:szCs w:val="24"/>
          <w:lang w:eastAsia="en-US"/>
        </w:rPr>
      </w:pPr>
    </w:p>
    <w:p w14:paraId="3196CB52" w14:textId="77777777" w:rsidR="000C1E0E" w:rsidRDefault="000C1E0E" w:rsidP="000C1E0E">
      <w:pPr>
        <w:numPr>
          <w:ilvl w:val="0"/>
          <w:numId w:val="14"/>
        </w:numPr>
        <w:spacing w:after="200" w:line="360" w:lineRule="auto"/>
        <w:ind w:left="284" w:hanging="284"/>
        <w:contextualSpacing/>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Рейтинговая группа II - Индекс корпоративных облигаций (1-3 года, BB- ≤ рейтинг &lt; BBB-), </w:t>
      </w:r>
    </w:p>
    <w:p w14:paraId="0102C543" w14:textId="77777777" w:rsidR="000C1E0E" w:rsidRDefault="000C1E0E" w:rsidP="000C1E0E">
      <w:pPr>
        <w:spacing w:line="360" w:lineRule="auto"/>
        <w:ind w:firstLine="284"/>
        <w:rPr>
          <w:rFonts w:ascii="Times New Roman" w:eastAsiaTheme="minorHAnsi" w:hAnsi="Times New Roman"/>
          <w:b/>
          <w:sz w:val="24"/>
          <w:szCs w:val="24"/>
          <w:lang w:eastAsia="en-US"/>
        </w:rPr>
      </w:pPr>
      <w:r>
        <w:rPr>
          <w:rFonts w:ascii="Times New Roman" w:eastAsiaTheme="minorHAnsi" w:hAnsi="Times New Roman"/>
          <w:sz w:val="24"/>
          <w:szCs w:val="24"/>
          <w:lang w:eastAsia="en-US"/>
        </w:rPr>
        <w:t xml:space="preserve">Тикер - </w:t>
      </w:r>
      <w:r>
        <w:rPr>
          <w:rFonts w:ascii="Times New Roman" w:eastAsiaTheme="minorHAnsi" w:hAnsi="Times New Roman"/>
          <w:b/>
          <w:sz w:val="24"/>
          <w:szCs w:val="24"/>
          <w:lang w:eastAsia="en-US"/>
        </w:rPr>
        <w:t>RUCBICPBB3Y;</w:t>
      </w:r>
    </w:p>
    <w:p w14:paraId="62563EDB" w14:textId="77777777" w:rsidR="000C1E0E" w:rsidRDefault="000C1E0E" w:rsidP="000C1E0E">
      <w:pPr>
        <w:spacing w:line="360" w:lineRule="auto"/>
        <w:rPr>
          <w:rFonts w:ascii="Times New Roman" w:eastAsiaTheme="minorHAnsi" w:hAnsi="Times New Roman"/>
          <w:sz w:val="24"/>
          <w:szCs w:val="24"/>
          <w:lang w:eastAsia="en-US"/>
        </w:rPr>
      </w:pPr>
    </w:p>
    <w:p w14:paraId="21B63526" w14:textId="77777777" w:rsidR="000C1E0E" w:rsidRDefault="000C1E0E" w:rsidP="000C1E0E">
      <w:pPr>
        <w:numPr>
          <w:ilvl w:val="0"/>
          <w:numId w:val="14"/>
        </w:numPr>
        <w:spacing w:after="200" w:line="360" w:lineRule="auto"/>
        <w:ind w:left="284" w:hanging="284"/>
        <w:contextualSpacing/>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Рейтинговая группа III - Индекс корпоративных облигаций (1-3 года, B- ≤ рейтинг &lt; BB-), </w:t>
      </w:r>
    </w:p>
    <w:p w14:paraId="6621ACB9" w14:textId="77777777" w:rsidR="000C1E0E" w:rsidRDefault="000C1E0E" w:rsidP="000C1E0E">
      <w:pPr>
        <w:spacing w:line="360" w:lineRule="auto"/>
        <w:ind w:firstLine="284"/>
        <w:rPr>
          <w:rFonts w:ascii="Times New Roman" w:eastAsiaTheme="minorHAnsi" w:hAnsi="Times New Roman"/>
          <w:b/>
          <w:sz w:val="24"/>
          <w:szCs w:val="24"/>
          <w:lang w:eastAsia="en-US"/>
        </w:rPr>
      </w:pPr>
      <w:r>
        <w:rPr>
          <w:rFonts w:ascii="Times New Roman" w:eastAsiaTheme="minorHAnsi" w:hAnsi="Times New Roman"/>
          <w:sz w:val="24"/>
          <w:szCs w:val="24"/>
          <w:lang w:eastAsia="en-US"/>
        </w:rPr>
        <w:t xml:space="preserve">Тикер - </w:t>
      </w:r>
      <w:r>
        <w:rPr>
          <w:rFonts w:ascii="Times New Roman" w:eastAsiaTheme="minorHAnsi" w:hAnsi="Times New Roman"/>
          <w:b/>
          <w:sz w:val="24"/>
          <w:szCs w:val="24"/>
          <w:lang w:eastAsia="en-US"/>
        </w:rPr>
        <w:t>RUCBICPB3Y;</w:t>
      </w:r>
    </w:p>
    <w:p w14:paraId="34EC1EB5" w14:textId="77777777" w:rsidR="000C1E0E" w:rsidRDefault="000C1E0E" w:rsidP="000C1E0E">
      <w:pPr>
        <w:spacing w:line="360" w:lineRule="auto"/>
        <w:rPr>
          <w:rFonts w:ascii="Times New Roman" w:eastAsiaTheme="minorHAnsi" w:hAnsi="Times New Roman"/>
          <w:sz w:val="24"/>
          <w:szCs w:val="24"/>
          <w:lang w:eastAsia="en-US"/>
        </w:rPr>
      </w:pPr>
    </w:p>
    <w:p w14:paraId="6162D600" w14:textId="77777777" w:rsidR="000C1E0E" w:rsidRDefault="000C1E0E" w:rsidP="000C1E0E">
      <w:pPr>
        <w:numPr>
          <w:ilvl w:val="0"/>
          <w:numId w:val="14"/>
        </w:numPr>
        <w:spacing w:after="200" w:line="360" w:lineRule="auto"/>
        <w:ind w:left="284" w:hanging="284"/>
        <w:contextualSpacing/>
        <w:jc w:val="left"/>
        <w:rPr>
          <w:rFonts w:ascii="Times New Roman" w:eastAsia="Calibri" w:hAnsi="Times New Roman"/>
          <w:sz w:val="24"/>
          <w:szCs w:val="24"/>
          <w:lang w:eastAsia="en-US"/>
        </w:rPr>
      </w:pPr>
      <w:r>
        <w:rPr>
          <w:rFonts w:ascii="Times New Roman" w:eastAsiaTheme="minorHAnsi" w:hAnsi="Times New Roman"/>
          <w:sz w:val="24"/>
          <w:szCs w:val="24"/>
          <w:lang w:eastAsia="en-US"/>
        </w:rPr>
        <w:t xml:space="preserve">Рейтинговая группа IV - </w:t>
      </w:r>
      <w:r>
        <w:rPr>
          <w:rFonts w:ascii="Times New Roman" w:eastAsia="Calibri" w:hAnsi="Times New Roman"/>
          <w:sz w:val="24"/>
          <w:szCs w:val="24"/>
          <w:lang w:eastAsia="en-US"/>
        </w:rPr>
        <w:t>выбирается Индекс в зависимости от котировального уровня, в который входит долговая ценная бумага:</w:t>
      </w:r>
      <w:r>
        <w:rPr>
          <w:rFonts w:ascii="Times New Roman" w:eastAsiaTheme="minorHAnsi" w:hAnsi="Times New Roman"/>
          <w:sz w:val="24"/>
          <w:szCs w:val="24"/>
          <w:lang w:eastAsia="en-US"/>
        </w:rPr>
        <w:t xml:space="preserve"> Индекс котировальных листов (котировальный уровень 2)</w:t>
      </w:r>
      <w:r>
        <w:rPr>
          <w:rFonts w:ascii="Times New Roman" w:eastAsia="Calibri" w:hAnsi="Times New Roman"/>
          <w:sz w:val="24"/>
          <w:szCs w:val="24"/>
          <w:lang w:eastAsia="en-US"/>
        </w:rPr>
        <w:t xml:space="preserve"> или Индекс котировальных листов (котировальный уровень 3)</w:t>
      </w:r>
      <w:r>
        <w:rPr>
          <w:rFonts w:ascii="Times New Roman" w:eastAsiaTheme="minorHAnsi" w:hAnsi="Times New Roman"/>
          <w:sz w:val="24"/>
          <w:szCs w:val="24"/>
          <w:lang w:eastAsia="en-US"/>
        </w:rPr>
        <w:t xml:space="preserve">, </w:t>
      </w:r>
    </w:p>
    <w:p w14:paraId="27B8AC72" w14:textId="77777777" w:rsidR="000C1E0E" w:rsidRDefault="000C1E0E" w:rsidP="000C1E0E">
      <w:pPr>
        <w:spacing w:line="360" w:lineRule="auto"/>
        <w:ind w:firstLine="284"/>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Тикер - </w:t>
      </w:r>
      <w:r>
        <w:rPr>
          <w:rFonts w:ascii="Times New Roman" w:eastAsiaTheme="minorHAnsi" w:hAnsi="Times New Roman"/>
          <w:b/>
          <w:sz w:val="24"/>
          <w:szCs w:val="24"/>
          <w:lang w:eastAsia="en-US"/>
        </w:rPr>
        <w:t>RUCBICPL2</w:t>
      </w:r>
      <w:r>
        <w:rPr>
          <w:rFonts w:ascii="Times New Roman" w:eastAsiaTheme="minorHAnsi" w:hAnsi="Times New Roman"/>
          <w:sz w:val="24"/>
          <w:szCs w:val="24"/>
          <w:lang w:eastAsia="en-US"/>
        </w:rPr>
        <w:t xml:space="preserve"> </w:t>
      </w:r>
    </w:p>
    <w:p w14:paraId="72BC6136" w14:textId="77777777" w:rsidR="000C1E0E" w:rsidRDefault="000C1E0E" w:rsidP="000C1E0E">
      <w:pPr>
        <w:spacing w:line="360" w:lineRule="auto"/>
        <w:ind w:firstLine="284"/>
        <w:rPr>
          <w:rFonts w:ascii="Times New Roman" w:eastAsiaTheme="minorHAnsi" w:hAnsi="Times New Roman"/>
          <w:sz w:val="24"/>
          <w:szCs w:val="24"/>
          <w:lang w:eastAsia="en-US"/>
        </w:rPr>
      </w:pPr>
      <w:r>
        <w:rPr>
          <w:rFonts w:ascii="Times New Roman" w:eastAsiaTheme="minorHAnsi" w:hAnsi="Times New Roman"/>
          <w:sz w:val="24"/>
          <w:szCs w:val="24"/>
          <w:lang w:eastAsia="en-US"/>
        </w:rPr>
        <w:t>Тикер -</w:t>
      </w:r>
      <w:r>
        <w:rPr>
          <w:rFonts w:ascii="Times New Roman" w:eastAsiaTheme="minorHAnsi" w:hAnsi="Times New Roman"/>
          <w:b/>
          <w:sz w:val="24"/>
          <w:szCs w:val="24"/>
          <w:lang w:eastAsia="en-US"/>
        </w:rPr>
        <w:t>RUCBICPL3</w:t>
      </w:r>
      <w:r>
        <w:rPr>
          <w:rFonts w:ascii="Times New Roman" w:eastAsiaTheme="minorHAnsi" w:hAnsi="Times New Roman"/>
          <w:sz w:val="24"/>
          <w:szCs w:val="24"/>
          <w:lang w:eastAsia="en-US"/>
        </w:rPr>
        <w:t>.</w:t>
      </w:r>
    </w:p>
    <w:p w14:paraId="3FEA3F9D" w14:textId="77777777" w:rsidR="000C1E0E" w:rsidRDefault="000C1E0E" w:rsidP="000C1E0E">
      <w:pPr>
        <w:spacing w:after="200" w:line="360" w:lineRule="auto"/>
        <w:contextualSpacing/>
        <w:jc w:val="left"/>
        <w:rPr>
          <w:rFonts w:ascii="Times New Roman" w:eastAsia="Calibri" w:hAnsi="Times New Roman"/>
          <w:sz w:val="24"/>
          <w:szCs w:val="24"/>
          <w:lang w:eastAsia="en-US"/>
        </w:rPr>
      </w:pPr>
    </w:p>
    <w:p w14:paraId="18975290"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Расчет кредитного спреда для рейтинговых групп осуществляется по следующим формулам:</w:t>
      </w:r>
    </w:p>
    <w:p w14:paraId="004720B4" w14:textId="77777777" w:rsidR="000C1E0E" w:rsidRDefault="000C1E0E" w:rsidP="000C1E0E">
      <w:pPr>
        <w:spacing w:after="120" w:line="360" w:lineRule="auto"/>
        <w:ind w:firstLine="426"/>
        <w:rPr>
          <w:rFonts w:ascii="Times New Roman" w:eastAsiaTheme="minorHAnsi" w:hAnsi="Times New Roman"/>
          <w:b/>
          <w:sz w:val="24"/>
          <w:szCs w:val="24"/>
          <w:lang w:eastAsia="en-US"/>
        </w:rPr>
      </w:pPr>
      <w:r>
        <w:rPr>
          <w:rFonts w:ascii="Times New Roman" w:eastAsiaTheme="minorHAnsi" w:hAnsi="Times New Roman"/>
          <w:b/>
          <w:sz w:val="24"/>
          <w:szCs w:val="24"/>
          <w:lang w:eastAsia="en-US"/>
        </w:rPr>
        <w:t>Рейтинговая группа I:</w:t>
      </w:r>
    </w:p>
    <w:p w14:paraId="43BE4A52"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Рассчитывается кредитный спред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Times New Roman"/>
                <w:sz w:val="24"/>
                <w:szCs w:val="24"/>
                <w:lang w:eastAsia="en-US"/>
              </w:rPr>
              <m:t>РГ</m:t>
            </m:r>
            <m:r>
              <w:rPr>
                <w:rFonts w:ascii="Cambria Math" w:eastAsiaTheme="minorHAnsi" w:hAnsi="Cambria Math"/>
                <w:sz w:val="24"/>
                <w:szCs w:val="24"/>
                <w:lang w:eastAsia="en-US"/>
              </w:rPr>
              <m:t>I</m:t>
            </m:r>
          </m:sub>
        </m:sSub>
      </m:oMath>
      <w:r>
        <w:rPr>
          <w:rFonts w:ascii="Times New Roman" w:eastAsiaTheme="minorHAnsi" w:hAnsi="Times New Roman"/>
          <w:sz w:val="24"/>
          <w:szCs w:val="24"/>
          <w:lang w:eastAsia="en-US"/>
        </w:rPr>
        <w:t xml:space="preserve"> за каждый из 20 последних торговых дней, предшествующих дате определения справедливой стоимости: </w:t>
      </w:r>
    </w:p>
    <w:p w14:paraId="7635F6B7" w14:textId="77777777" w:rsidR="000C1E0E" w:rsidRDefault="00C84628" w:rsidP="000C1E0E">
      <w:pPr>
        <w:spacing w:after="120" w:line="360" w:lineRule="auto"/>
        <w:ind w:firstLine="426"/>
        <w:rPr>
          <w:rFonts w:ascii="Times New Roman" w:eastAsiaTheme="minorHAnsi" w:hAnsi="Times New Roman"/>
          <w:sz w:val="24"/>
          <w:szCs w:val="24"/>
          <w:lang w:eastAsia="en-US"/>
        </w:rPr>
      </w:pPr>
      <m:oMathPara>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val="en-US" w:eastAsia="en-US"/>
                </w:rPr>
                <m:t>РГ</m:t>
              </m:r>
              <m:r>
                <w:rPr>
                  <w:rFonts w:ascii="Cambria Math" w:eastAsiaTheme="minorHAnsi" w:hAnsi="Cambria Math"/>
                  <w:sz w:val="24"/>
                  <w:szCs w:val="24"/>
                  <w:lang w:eastAsia="en-US"/>
                </w:rPr>
                <m:t>I</m:t>
              </m:r>
            </m:sub>
          </m:sSub>
          <m:r>
            <m:rPr>
              <m:sty m:val="p"/>
            </m:rPr>
            <w:rPr>
              <w:rFonts w:ascii="Cambria Math" w:eastAsiaTheme="minorHAnsi" w:hAnsi="Times New Roman"/>
              <w:sz w:val="24"/>
              <w:szCs w:val="24"/>
              <w:lang w:eastAsia="en-US"/>
            </w:rPr>
            <m:t>=</m:t>
          </m:r>
          <m:d>
            <m:dPr>
              <m:ctrlPr>
                <w:rPr>
                  <w:rFonts w:ascii="Cambria Math" w:eastAsiaTheme="minorHAnsi" w:hAnsi="Cambria Math"/>
                  <w:sz w:val="24"/>
                  <w:szCs w:val="24"/>
                  <w:lang w:eastAsia="en-US"/>
                </w:rPr>
              </m:ctrlPr>
            </m:dPr>
            <m:e>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RUCBICPBBB3Y</m:t>
                  </m:r>
                </m:sub>
              </m:sSub>
              <m:r>
                <m:rPr>
                  <m:sty m:val="p"/>
                </m:rPr>
                <w:rPr>
                  <w:rFonts w:ascii="Cambria Math" w:eastAsiaTheme="minorHAnsi" w:hAnsi="Cambria Math"/>
                  <w:sz w:val="24"/>
                  <w:szCs w:val="24"/>
                  <w:lang w:eastAsia="en-US"/>
                </w:rPr>
                <m:t>-</m:t>
              </m:r>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RUGBICP3Y</m:t>
                  </m:r>
                </m:sub>
              </m:sSub>
            </m:e>
          </m:d>
          <m:r>
            <m:rPr>
              <m:sty m:val="p"/>
            </m:rPr>
            <w:rPr>
              <w:rFonts w:ascii="Cambria Math" w:eastAsiaTheme="minorHAnsi" w:hAnsi="Cambria Math"/>
              <w:sz w:val="24"/>
              <w:szCs w:val="24"/>
              <w:lang w:eastAsia="en-US"/>
            </w:rPr>
            <m:t>*</m:t>
          </m:r>
          <m:r>
            <m:rPr>
              <m:sty m:val="p"/>
            </m:rPr>
            <w:rPr>
              <w:rFonts w:ascii="Cambria Math" w:eastAsiaTheme="minorHAnsi" w:hAnsi="Times New Roman"/>
              <w:sz w:val="24"/>
              <w:szCs w:val="24"/>
              <w:lang w:eastAsia="en-US"/>
            </w:rPr>
            <m:t>100</m:t>
          </m:r>
        </m:oMath>
      </m:oMathPara>
    </w:p>
    <w:p w14:paraId="0F46CB49" w14:textId="77777777" w:rsidR="000C1E0E" w:rsidRDefault="000C1E0E" w:rsidP="000C1E0E">
      <w:pPr>
        <w:spacing w:after="120" w:line="360" w:lineRule="auto"/>
        <w:ind w:firstLine="426"/>
        <w:rPr>
          <w:rFonts w:ascii="Times New Roman" w:eastAsiaTheme="minorHAnsi" w:hAnsi="Times New Roman"/>
          <w:sz w:val="24"/>
          <w:szCs w:val="24"/>
          <w:lang w:eastAsia="en-US"/>
        </w:rPr>
      </w:pPr>
    </w:p>
    <w:p w14:paraId="29F16C4A"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где:</w:t>
      </w:r>
    </w:p>
    <w:p w14:paraId="2DD41246" w14:textId="77777777" w:rsidR="000C1E0E" w:rsidRDefault="000C1E0E" w:rsidP="000C1E0E">
      <w:pPr>
        <w:spacing w:after="120" w:line="360" w:lineRule="auto"/>
        <w:ind w:firstLine="426"/>
        <w:rPr>
          <w:rFonts w:ascii="Times New Roman" w:eastAsiaTheme="minorHAnsi" w:hAnsi="Times New Roman"/>
          <w:sz w:val="24"/>
          <w:szCs w:val="24"/>
          <w:lang w:eastAsia="en-US"/>
        </w:rPr>
      </w:pPr>
      <m:oMath>
        <m:r>
          <w:rPr>
            <w:rFonts w:ascii="Cambria Math" w:eastAsiaTheme="minorHAnsi" w:hAnsi="Cambria Math"/>
            <w:sz w:val="24"/>
            <w:szCs w:val="24"/>
            <w:lang w:eastAsia="en-US"/>
          </w:rPr>
          <m:t>Y</m:t>
        </m:r>
      </m:oMath>
      <w:r>
        <w:rPr>
          <w:rFonts w:ascii="Times New Roman" w:eastAsiaTheme="minorHAnsi" w:hAnsi="Times New Roman"/>
          <w:sz w:val="24"/>
          <w:szCs w:val="24"/>
          <w:lang w:eastAsia="en-US"/>
        </w:rPr>
        <w:t xml:space="preserve"> – значение доходности соответствующего индекса, раскрытого ПАО «Московская биржа».</w:t>
      </w:r>
    </w:p>
    <w:p w14:paraId="3BCDD488"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Рассчитывается медианное значение кредитного спреда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m:t>
            </m:r>
          </m:sub>
        </m:sSub>
      </m:oMath>
      <w:r>
        <w:rPr>
          <w:rFonts w:ascii="Times New Roman" w:eastAsiaTheme="minorHAnsi" w:hAnsi="Times New Roman"/>
          <w:sz w:val="24"/>
          <w:szCs w:val="24"/>
          <w:lang w:eastAsia="en-US"/>
        </w:rPr>
        <w:t xml:space="preserve"> за последние 20 торговых дней (медиана из полученного ряда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m:t>
            </m:r>
          </m:sub>
        </m:sSub>
      </m:oMath>
      <w:r>
        <w:rPr>
          <w:rFonts w:ascii="Times New Roman" w:eastAsiaTheme="minorHAnsi" w:hAnsi="Times New Roman"/>
          <w:sz w:val="24"/>
          <w:szCs w:val="24"/>
          <w:lang w:eastAsia="en-US"/>
        </w:rPr>
        <w:t xml:space="preserve">). При расчете значения медианного кредитного спреда промежуточные округления значений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m:t>
            </m:r>
          </m:sub>
        </m:sSub>
      </m:oMath>
      <w:r>
        <w:rPr>
          <w:rFonts w:ascii="Times New Roman" w:eastAsiaTheme="minorHAnsi" w:hAnsi="Times New Roman"/>
          <w:sz w:val="24"/>
          <w:szCs w:val="24"/>
          <w:lang w:eastAsia="en-US"/>
        </w:rPr>
        <w:t xml:space="preserve"> не производятся, результат расчета округляется по правилам математического округления с точностью до 2 знаков после запятой.</w:t>
      </w:r>
    </w:p>
    <w:p w14:paraId="625F3BB9" w14:textId="77777777" w:rsidR="000C1E0E" w:rsidRDefault="000C1E0E" w:rsidP="000C1E0E">
      <w:pPr>
        <w:spacing w:after="120" w:line="360" w:lineRule="auto"/>
        <w:ind w:firstLine="426"/>
        <w:rPr>
          <w:rFonts w:ascii="Times New Roman" w:eastAsiaTheme="minorHAnsi" w:hAnsi="Times New Roman"/>
          <w:b/>
          <w:sz w:val="24"/>
          <w:szCs w:val="24"/>
          <w:lang w:eastAsia="en-US"/>
        </w:rPr>
      </w:pPr>
      <w:r>
        <w:rPr>
          <w:rFonts w:ascii="Times New Roman" w:eastAsiaTheme="minorHAnsi" w:hAnsi="Times New Roman"/>
          <w:sz w:val="24"/>
          <w:szCs w:val="24"/>
          <w:lang w:eastAsia="en-US"/>
        </w:rPr>
        <w:t xml:space="preserve"> </w:t>
      </w:r>
      <w:r>
        <w:rPr>
          <w:rFonts w:ascii="Times New Roman" w:eastAsiaTheme="minorHAnsi" w:hAnsi="Times New Roman"/>
          <w:b/>
          <w:sz w:val="24"/>
          <w:szCs w:val="24"/>
          <w:lang w:eastAsia="en-US"/>
        </w:rPr>
        <w:t>Рейтинговая группа II</w:t>
      </w:r>
    </w:p>
    <w:p w14:paraId="7A830BA2"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Рассчитывается кредитный спред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m:t>
            </m:r>
          </m:sub>
        </m:sSub>
      </m:oMath>
      <w:r>
        <w:rPr>
          <w:rFonts w:ascii="Times New Roman" w:eastAsiaTheme="minorHAnsi" w:hAnsi="Times New Roman"/>
          <w:sz w:val="24"/>
          <w:szCs w:val="24"/>
          <w:lang w:eastAsia="en-US"/>
        </w:rPr>
        <w:t xml:space="preserve"> за каждый из 20 последних торговых дней, предшествующих дате определения справедливой стоимости: </w:t>
      </w:r>
    </w:p>
    <w:p w14:paraId="1062477B" w14:textId="77777777" w:rsidR="000C1E0E" w:rsidRDefault="00C84628" w:rsidP="000C1E0E">
      <w:pPr>
        <w:spacing w:after="120" w:line="360" w:lineRule="auto"/>
        <w:ind w:firstLine="426"/>
        <w:rPr>
          <w:rFonts w:ascii="Times New Roman" w:eastAsiaTheme="minorHAnsi" w:hAnsi="Times New Roman"/>
          <w:sz w:val="24"/>
          <w:szCs w:val="24"/>
          <w:lang w:eastAsia="en-US"/>
        </w:rPr>
      </w:pPr>
      <m:oMathPara>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val="en-US" w:eastAsia="en-US"/>
                </w:rPr>
                <m:t>РГ</m:t>
              </m:r>
              <m:r>
                <w:rPr>
                  <w:rFonts w:ascii="Cambria Math" w:eastAsiaTheme="minorHAnsi" w:hAnsi="Cambria Math"/>
                  <w:sz w:val="24"/>
                  <w:szCs w:val="24"/>
                  <w:lang w:eastAsia="en-US"/>
                </w:rPr>
                <m:t>II</m:t>
              </m:r>
            </m:sub>
          </m:sSub>
          <m:r>
            <m:rPr>
              <m:sty m:val="p"/>
            </m:rPr>
            <w:rPr>
              <w:rFonts w:ascii="Cambria Math" w:eastAsiaTheme="minorHAnsi" w:hAnsi="Times New Roman"/>
              <w:sz w:val="24"/>
              <w:szCs w:val="24"/>
              <w:lang w:eastAsia="en-US"/>
            </w:rPr>
            <m:t>=</m:t>
          </m:r>
          <m:d>
            <m:dPr>
              <m:ctrlPr>
                <w:rPr>
                  <w:rFonts w:ascii="Cambria Math" w:eastAsiaTheme="minorHAnsi" w:hAnsi="Cambria Math"/>
                  <w:sz w:val="24"/>
                  <w:szCs w:val="24"/>
                  <w:lang w:eastAsia="en-US"/>
                </w:rPr>
              </m:ctrlPr>
            </m:dPr>
            <m:e>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RUCBICPBB3Y</m:t>
                  </m:r>
                </m:sub>
              </m:sSub>
              <m:r>
                <m:rPr>
                  <m:sty m:val="p"/>
                </m:rPr>
                <w:rPr>
                  <w:rFonts w:ascii="Cambria Math" w:eastAsiaTheme="minorHAnsi" w:hAnsi="Cambria Math"/>
                  <w:sz w:val="24"/>
                  <w:szCs w:val="24"/>
                  <w:lang w:eastAsia="en-US"/>
                </w:rPr>
                <m:t>-</m:t>
              </m:r>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RUGBICP3Y</m:t>
                  </m:r>
                </m:sub>
              </m:sSub>
            </m:e>
          </m:d>
          <m:r>
            <m:rPr>
              <m:sty m:val="p"/>
            </m:rPr>
            <w:rPr>
              <w:rFonts w:ascii="Cambria Math" w:eastAsiaTheme="minorHAnsi" w:hAnsi="Cambria Math"/>
              <w:sz w:val="24"/>
              <w:szCs w:val="24"/>
              <w:lang w:eastAsia="en-US"/>
            </w:rPr>
            <m:t>*</m:t>
          </m:r>
          <m:r>
            <m:rPr>
              <m:sty m:val="p"/>
            </m:rPr>
            <w:rPr>
              <w:rFonts w:ascii="Cambria Math" w:eastAsiaTheme="minorHAnsi" w:hAnsi="Times New Roman"/>
              <w:sz w:val="24"/>
              <w:szCs w:val="24"/>
              <w:lang w:eastAsia="en-US"/>
            </w:rPr>
            <m:t>100</m:t>
          </m:r>
        </m:oMath>
      </m:oMathPara>
    </w:p>
    <w:p w14:paraId="255CF64D" w14:textId="77777777" w:rsidR="000C1E0E" w:rsidRDefault="000C1E0E" w:rsidP="000C1E0E">
      <w:pPr>
        <w:spacing w:after="120" w:line="360" w:lineRule="auto"/>
        <w:ind w:firstLine="426"/>
        <w:rPr>
          <w:rFonts w:ascii="Times New Roman" w:eastAsiaTheme="minorHAnsi" w:hAnsi="Times New Roman"/>
          <w:sz w:val="24"/>
          <w:szCs w:val="24"/>
          <w:lang w:eastAsia="en-US"/>
        </w:rPr>
      </w:pPr>
      <m:oMath>
        <m:r>
          <w:rPr>
            <w:rFonts w:ascii="Cambria Math" w:eastAsiaTheme="minorHAnsi" w:hAnsi="Cambria Math"/>
            <w:sz w:val="24"/>
            <w:szCs w:val="24"/>
            <w:lang w:eastAsia="en-US"/>
          </w:rPr>
          <m:t>Y</m:t>
        </m:r>
      </m:oMath>
      <w:r>
        <w:rPr>
          <w:rFonts w:ascii="Times New Roman" w:eastAsiaTheme="minorHAnsi" w:hAnsi="Times New Roman"/>
          <w:sz w:val="24"/>
          <w:szCs w:val="24"/>
          <w:lang w:eastAsia="en-US"/>
        </w:rPr>
        <w:t xml:space="preserve"> – значение доходности соответствующего индекса, раскрытого ПАО «Московская биржа».</w:t>
      </w:r>
    </w:p>
    <w:p w14:paraId="7A61BFC9"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Рассчитывается медианное значение кредитного спреда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m:t>
            </m:r>
          </m:sub>
        </m:sSub>
      </m:oMath>
      <w:r>
        <w:rPr>
          <w:rFonts w:ascii="Times New Roman" w:eastAsiaTheme="minorHAnsi" w:hAnsi="Times New Roman"/>
          <w:sz w:val="24"/>
          <w:szCs w:val="24"/>
          <w:lang w:eastAsia="en-US"/>
        </w:rPr>
        <w:t xml:space="preserve"> за последние 20 торговых дней (медиана из полученного ряда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m:t>
            </m:r>
          </m:sub>
        </m:sSub>
      </m:oMath>
      <w:r>
        <w:rPr>
          <w:rFonts w:ascii="Times New Roman" w:eastAsiaTheme="minorHAnsi" w:hAnsi="Times New Roman"/>
          <w:sz w:val="24"/>
          <w:szCs w:val="24"/>
          <w:lang w:eastAsia="en-US"/>
        </w:rPr>
        <w:t xml:space="preserve">). При расчете значения медианного кредитного спреда промежуточные округления значений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m:t>
            </m:r>
          </m:sub>
        </m:sSub>
      </m:oMath>
      <w:r>
        <w:rPr>
          <w:rFonts w:ascii="Times New Roman" w:eastAsiaTheme="minorHAnsi" w:hAnsi="Times New Roman"/>
          <w:sz w:val="24"/>
          <w:szCs w:val="24"/>
          <w:lang w:eastAsia="en-US"/>
        </w:rPr>
        <w:t xml:space="preserve"> не производятся, результат расчета округляется по правилам математического округления с точностью до 2 знаков после запятой.</w:t>
      </w:r>
    </w:p>
    <w:p w14:paraId="13077DBB" w14:textId="77777777" w:rsidR="000C1E0E" w:rsidRDefault="000C1E0E" w:rsidP="000C1E0E">
      <w:pPr>
        <w:spacing w:after="120" w:line="360" w:lineRule="auto"/>
        <w:ind w:firstLine="426"/>
        <w:rPr>
          <w:rFonts w:ascii="Times New Roman" w:eastAsiaTheme="minorHAnsi" w:hAnsi="Times New Roman"/>
          <w:b/>
          <w:sz w:val="24"/>
          <w:szCs w:val="24"/>
          <w:lang w:eastAsia="en-US"/>
        </w:rPr>
      </w:pPr>
      <w:r>
        <w:rPr>
          <w:rFonts w:ascii="Times New Roman" w:eastAsiaTheme="minorHAnsi" w:hAnsi="Times New Roman"/>
          <w:b/>
          <w:sz w:val="24"/>
          <w:szCs w:val="24"/>
          <w:lang w:eastAsia="en-US"/>
        </w:rPr>
        <w:t>Рейтинговая группа III</w:t>
      </w:r>
    </w:p>
    <w:p w14:paraId="216F1E37"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Рассчитывается кредитный спред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III</m:t>
            </m:r>
          </m:sub>
        </m:sSub>
      </m:oMath>
      <w:r>
        <w:rPr>
          <w:rFonts w:ascii="Times New Roman" w:eastAsiaTheme="minorHAnsi" w:hAnsi="Times New Roman"/>
          <w:sz w:val="24"/>
          <w:szCs w:val="24"/>
          <w:lang w:eastAsia="en-US"/>
        </w:rPr>
        <w:t xml:space="preserve"> за каждый из 20 последних торговых дней, предшествующих дате определения справедливой стоимости: </w:t>
      </w:r>
    </w:p>
    <w:p w14:paraId="3EE6EF0F" w14:textId="77777777" w:rsidR="000C1E0E" w:rsidRDefault="00C84628" w:rsidP="000C1E0E">
      <w:pPr>
        <w:spacing w:after="120" w:line="360" w:lineRule="auto"/>
        <w:ind w:firstLine="426"/>
        <w:rPr>
          <w:rFonts w:ascii="Times New Roman" w:eastAsiaTheme="minorHAnsi" w:hAnsi="Times New Roman"/>
          <w:sz w:val="24"/>
          <w:szCs w:val="24"/>
          <w:lang w:eastAsia="en-US"/>
        </w:rPr>
      </w:pPr>
      <m:oMathPara>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val="en-US" w:eastAsia="en-US"/>
                </w:rPr>
                <m:t>РГ</m:t>
              </m:r>
              <m:r>
                <w:rPr>
                  <w:rFonts w:ascii="Cambria Math" w:eastAsiaTheme="minorHAnsi" w:hAnsi="Cambria Math"/>
                  <w:sz w:val="24"/>
                  <w:szCs w:val="24"/>
                  <w:lang w:eastAsia="en-US"/>
                </w:rPr>
                <m:t>III</m:t>
              </m:r>
            </m:sub>
          </m:sSub>
          <m:r>
            <m:rPr>
              <m:sty m:val="p"/>
            </m:rPr>
            <w:rPr>
              <w:rFonts w:ascii="Cambria Math" w:eastAsiaTheme="minorHAnsi" w:hAnsi="Times New Roman"/>
              <w:sz w:val="24"/>
              <w:szCs w:val="24"/>
              <w:lang w:eastAsia="en-US"/>
            </w:rPr>
            <m:t>=</m:t>
          </m:r>
          <m:d>
            <m:dPr>
              <m:ctrlPr>
                <w:rPr>
                  <w:rFonts w:ascii="Cambria Math" w:eastAsiaTheme="minorHAnsi" w:hAnsi="Cambria Math"/>
                  <w:sz w:val="24"/>
                  <w:szCs w:val="24"/>
                  <w:lang w:eastAsia="en-US"/>
                </w:rPr>
              </m:ctrlPr>
            </m:dPr>
            <m:e>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RUCBICPB3Y</m:t>
                  </m:r>
                </m:sub>
              </m:sSub>
              <m:r>
                <m:rPr>
                  <m:sty m:val="p"/>
                </m:rPr>
                <w:rPr>
                  <w:rFonts w:ascii="Cambria Math" w:eastAsiaTheme="minorHAnsi" w:hAnsi="Cambria Math"/>
                  <w:sz w:val="24"/>
                  <w:szCs w:val="24"/>
                  <w:lang w:eastAsia="en-US"/>
                </w:rPr>
                <m:t>-</m:t>
              </m:r>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RUGBICP3Y</m:t>
                  </m:r>
                </m:sub>
              </m:sSub>
            </m:e>
          </m:d>
          <m:r>
            <m:rPr>
              <m:sty m:val="p"/>
            </m:rPr>
            <w:rPr>
              <w:rFonts w:ascii="Cambria Math" w:eastAsiaTheme="minorHAnsi" w:hAnsi="Cambria Math"/>
              <w:sz w:val="24"/>
              <w:szCs w:val="24"/>
              <w:lang w:eastAsia="en-US"/>
            </w:rPr>
            <m:t>*</m:t>
          </m:r>
          <m:r>
            <m:rPr>
              <m:sty m:val="p"/>
            </m:rPr>
            <w:rPr>
              <w:rFonts w:ascii="Cambria Math" w:eastAsiaTheme="minorHAnsi" w:hAnsi="Times New Roman"/>
              <w:sz w:val="24"/>
              <w:szCs w:val="24"/>
              <w:lang w:eastAsia="en-US"/>
            </w:rPr>
            <m:t>100</m:t>
          </m:r>
        </m:oMath>
      </m:oMathPara>
    </w:p>
    <w:p w14:paraId="3C6DEC70" w14:textId="77777777" w:rsidR="000C1E0E" w:rsidRDefault="000C1E0E" w:rsidP="000C1E0E">
      <w:pPr>
        <w:spacing w:after="120" w:line="360" w:lineRule="auto"/>
        <w:ind w:firstLine="426"/>
        <w:rPr>
          <w:rFonts w:ascii="Times New Roman" w:eastAsiaTheme="minorHAnsi" w:hAnsi="Times New Roman"/>
          <w:sz w:val="24"/>
          <w:szCs w:val="24"/>
          <w:lang w:eastAsia="en-US"/>
        </w:rPr>
      </w:pPr>
      <m:oMath>
        <m:r>
          <w:rPr>
            <w:rFonts w:ascii="Cambria Math" w:eastAsiaTheme="minorHAnsi" w:hAnsi="Cambria Math"/>
            <w:sz w:val="24"/>
            <w:szCs w:val="24"/>
            <w:lang w:eastAsia="en-US"/>
          </w:rPr>
          <m:t>Y</m:t>
        </m:r>
      </m:oMath>
      <w:r>
        <w:rPr>
          <w:rFonts w:ascii="Times New Roman" w:eastAsiaTheme="minorHAnsi" w:hAnsi="Times New Roman"/>
          <w:sz w:val="24"/>
          <w:szCs w:val="24"/>
          <w:lang w:eastAsia="en-US"/>
        </w:rPr>
        <w:t xml:space="preserve"> – значение доходности соответствующего индекса, раскрытого ПАО «Московская биржа».</w:t>
      </w:r>
    </w:p>
    <w:p w14:paraId="6014644B"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Рассчитывается медианное значение кредитного спреда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III</m:t>
            </m:r>
          </m:sub>
        </m:sSub>
      </m:oMath>
      <w:r>
        <w:rPr>
          <w:rFonts w:ascii="Times New Roman" w:eastAsiaTheme="minorHAnsi" w:hAnsi="Times New Roman"/>
          <w:sz w:val="24"/>
          <w:szCs w:val="24"/>
          <w:lang w:eastAsia="en-US"/>
        </w:rPr>
        <w:t xml:space="preserve"> за последние 20 торговых дней (медиана из полученного ряда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III</m:t>
            </m:r>
          </m:sub>
        </m:sSub>
      </m:oMath>
      <w:r>
        <w:rPr>
          <w:rFonts w:ascii="Times New Roman" w:eastAsiaTheme="minorHAnsi" w:hAnsi="Times New Roman"/>
          <w:sz w:val="24"/>
          <w:szCs w:val="24"/>
          <w:lang w:eastAsia="en-US"/>
        </w:rPr>
        <w:t xml:space="preserve">). При расчете значения медианного кредитного спреда промежуточные округления значений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III</m:t>
            </m:r>
          </m:sub>
        </m:sSub>
      </m:oMath>
      <w:r>
        <w:rPr>
          <w:rFonts w:ascii="Times New Roman" w:eastAsiaTheme="minorHAnsi" w:hAnsi="Times New Roman"/>
          <w:sz w:val="24"/>
          <w:szCs w:val="24"/>
          <w:lang w:eastAsia="en-US"/>
        </w:rPr>
        <w:t xml:space="preserve"> не производятся, результат расчета округляется по правилам математического округления с точностью до 2 знаков после запятой.</w:t>
      </w:r>
    </w:p>
    <w:p w14:paraId="095888C3" w14:textId="77777777" w:rsidR="000C1E0E" w:rsidRDefault="000C1E0E" w:rsidP="000C1E0E">
      <w:pPr>
        <w:spacing w:after="120" w:line="360" w:lineRule="auto"/>
        <w:ind w:firstLine="426"/>
        <w:rPr>
          <w:rFonts w:ascii="Times New Roman" w:eastAsiaTheme="minorHAnsi" w:hAnsi="Times New Roman"/>
          <w:b/>
          <w:sz w:val="24"/>
          <w:szCs w:val="24"/>
          <w:lang w:eastAsia="en-US"/>
        </w:rPr>
      </w:pPr>
      <w:r>
        <w:rPr>
          <w:rFonts w:ascii="Times New Roman" w:eastAsiaTheme="minorHAnsi" w:hAnsi="Times New Roman"/>
          <w:b/>
          <w:sz w:val="24"/>
          <w:szCs w:val="24"/>
          <w:lang w:eastAsia="en-US"/>
        </w:rPr>
        <w:t>Рейтинговая группа IV</w:t>
      </w:r>
    </w:p>
    <w:p w14:paraId="24834974"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Рассчитывается кредитный спред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IV</m:t>
            </m:r>
          </m:sub>
        </m:sSub>
      </m:oMath>
      <w:r>
        <w:rPr>
          <w:rFonts w:ascii="Times New Roman" w:eastAsiaTheme="minorHAnsi" w:hAnsi="Times New Roman"/>
          <w:sz w:val="24"/>
          <w:szCs w:val="24"/>
          <w:lang w:eastAsia="en-US"/>
        </w:rPr>
        <w:t xml:space="preserve"> за каждый из 20 последних торговых дней, предшествующих дате определения справедливой стоимости:</w:t>
      </w:r>
    </w:p>
    <w:p w14:paraId="5BA5ABD9" w14:textId="77777777" w:rsidR="000C1E0E" w:rsidRDefault="00C84628" w:rsidP="000C1E0E">
      <w:pPr>
        <w:spacing w:after="120" w:line="360" w:lineRule="auto"/>
        <w:ind w:firstLine="426"/>
        <w:rPr>
          <w:rFonts w:ascii="Times New Roman" w:eastAsiaTheme="minorHAnsi" w:hAnsi="Times New Roman"/>
          <w:sz w:val="24"/>
          <w:szCs w:val="24"/>
          <w:lang w:eastAsia="en-US"/>
        </w:rPr>
      </w:pP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IV</m:t>
            </m:r>
          </m:sub>
        </m:sSub>
        <m:r>
          <m:rPr>
            <m:sty m:val="p"/>
          </m:rPr>
          <w:rPr>
            <w:rFonts w:ascii="Cambria Math" w:eastAsiaTheme="minorHAnsi" w:hAnsi="Times New Roman"/>
            <w:sz w:val="24"/>
            <w:szCs w:val="24"/>
            <w:lang w:eastAsia="en-US"/>
          </w:rPr>
          <m:t>=</m:t>
        </m:r>
        <m:d>
          <m:dPr>
            <m:ctrlPr>
              <w:rPr>
                <w:rFonts w:ascii="Cambria Math" w:eastAsiaTheme="minorHAnsi" w:hAnsi="Cambria Math"/>
                <w:sz w:val="24"/>
                <w:szCs w:val="24"/>
                <w:lang w:eastAsia="en-US"/>
              </w:rPr>
            </m:ctrlPr>
          </m:dPr>
          <m:e>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 xml:space="preserve">RUCBICPL3 </m:t>
                </m:r>
              </m:sub>
            </m:sSub>
            <m:r>
              <m:rPr>
                <m:sty m:val="p"/>
              </m:rPr>
              <w:rPr>
                <w:rFonts w:ascii="Cambria Math" w:eastAsiaTheme="minorHAnsi" w:hAnsi="Cambria Math"/>
                <w:sz w:val="24"/>
                <w:szCs w:val="24"/>
                <w:lang w:eastAsia="en-US"/>
              </w:rPr>
              <m:t>-</m:t>
            </m:r>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RUGBICP3Y</m:t>
                </m:r>
              </m:sub>
            </m:sSub>
          </m:e>
        </m:d>
        <m:r>
          <m:rPr>
            <m:sty m:val="p"/>
          </m:rPr>
          <w:rPr>
            <w:rFonts w:ascii="Cambria Math" w:eastAsiaTheme="minorHAnsi" w:hAnsi="Cambria Math"/>
            <w:sz w:val="24"/>
            <w:szCs w:val="24"/>
            <w:lang w:eastAsia="en-US"/>
          </w:rPr>
          <m:t>*</m:t>
        </m:r>
        <m:r>
          <m:rPr>
            <m:sty m:val="p"/>
          </m:rPr>
          <w:rPr>
            <w:rFonts w:ascii="Cambria Math" w:eastAsiaTheme="minorHAnsi" w:hAnsi="Times New Roman"/>
            <w:sz w:val="24"/>
            <w:szCs w:val="24"/>
            <w:lang w:eastAsia="en-US"/>
          </w:rPr>
          <m:t>100</m:t>
        </m:r>
      </m:oMath>
      <w:r w:rsidR="000C1E0E">
        <w:rPr>
          <w:rFonts w:ascii="Times New Roman" w:eastAsiaTheme="minorHAnsi" w:hAnsi="Times New Roman"/>
          <w:sz w:val="24"/>
          <w:szCs w:val="24"/>
          <w:lang w:eastAsia="en-US"/>
        </w:rPr>
        <w:t>, (Формула 1)</w:t>
      </w:r>
    </w:p>
    <w:p w14:paraId="7DBE9352" w14:textId="77777777" w:rsidR="000C1E0E" w:rsidRDefault="00C84628" w:rsidP="000C1E0E">
      <w:pPr>
        <w:spacing w:after="120" w:line="360" w:lineRule="auto"/>
        <w:ind w:firstLine="426"/>
        <w:rPr>
          <w:rFonts w:ascii="Times New Roman" w:eastAsiaTheme="minorHAnsi" w:hAnsi="Times New Roman"/>
          <w:sz w:val="24"/>
          <w:szCs w:val="24"/>
          <w:lang w:eastAsia="en-US"/>
        </w:rPr>
      </w:pP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IV</m:t>
            </m:r>
          </m:sub>
        </m:sSub>
        <m:r>
          <m:rPr>
            <m:sty m:val="p"/>
          </m:rPr>
          <w:rPr>
            <w:rFonts w:ascii="Cambria Math" w:eastAsiaTheme="minorHAnsi" w:hAnsi="Times New Roman"/>
            <w:sz w:val="24"/>
            <w:szCs w:val="24"/>
            <w:lang w:eastAsia="en-US"/>
          </w:rPr>
          <m:t>=</m:t>
        </m:r>
        <m:d>
          <m:dPr>
            <m:ctrlPr>
              <w:rPr>
                <w:rFonts w:ascii="Cambria Math" w:eastAsiaTheme="minorHAnsi" w:hAnsi="Cambria Math"/>
                <w:sz w:val="24"/>
                <w:szCs w:val="24"/>
                <w:lang w:eastAsia="en-US"/>
              </w:rPr>
            </m:ctrlPr>
          </m:dPr>
          <m:e>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 xml:space="preserve">RUCBICPL2 </m:t>
                </m:r>
              </m:sub>
            </m:sSub>
            <m:r>
              <m:rPr>
                <m:sty m:val="p"/>
              </m:rPr>
              <w:rPr>
                <w:rFonts w:ascii="Cambria Math" w:eastAsiaTheme="minorHAnsi" w:hAnsi="Cambria Math"/>
                <w:sz w:val="24"/>
                <w:szCs w:val="24"/>
                <w:lang w:eastAsia="en-US"/>
              </w:rPr>
              <m:t>-</m:t>
            </m:r>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RUGBICP3Y</m:t>
                </m:r>
              </m:sub>
            </m:sSub>
          </m:e>
        </m:d>
        <m:r>
          <m:rPr>
            <m:sty m:val="p"/>
          </m:rPr>
          <w:rPr>
            <w:rFonts w:ascii="Cambria Math" w:eastAsiaTheme="minorHAnsi" w:hAnsi="Cambria Math"/>
            <w:sz w:val="24"/>
            <w:szCs w:val="24"/>
            <w:lang w:eastAsia="en-US"/>
          </w:rPr>
          <m:t>*</m:t>
        </m:r>
        <m:r>
          <m:rPr>
            <m:sty m:val="p"/>
          </m:rPr>
          <w:rPr>
            <w:rFonts w:ascii="Cambria Math" w:eastAsiaTheme="minorHAnsi" w:hAnsi="Times New Roman"/>
            <w:sz w:val="24"/>
            <w:szCs w:val="24"/>
            <w:lang w:eastAsia="en-US"/>
          </w:rPr>
          <m:t>100</m:t>
        </m:r>
      </m:oMath>
      <w:r w:rsidR="000C1E0E">
        <w:rPr>
          <w:rFonts w:ascii="Times New Roman" w:eastAsiaTheme="minorHAnsi" w:hAnsi="Times New Roman"/>
          <w:sz w:val="24"/>
          <w:szCs w:val="24"/>
          <w:lang w:eastAsia="en-US"/>
        </w:rPr>
        <w:t>, (Формула 2)</w:t>
      </w:r>
    </w:p>
    <w:p w14:paraId="1326BBC9" w14:textId="77777777" w:rsidR="000C1E0E" w:rsidRDefault="000C1E0E" w:rsidP="000C1E0E">
      <w:pPr>
        <w:spacing w:after="120" w:line="360" w:lineRule="auto"/>
        <w:ind w:firstLine="426"/>
        <w:rPr>
          <w:rFonts w:ascii="Times New Roman" w:eastAsiaTheme="minorHAnsi" w:hAnsi="Times New Roman"/>
          <w:sz w:val="24"/>
          <w:szCs w:val="24"/>
          <w:lang w:eastAsia="en-US"/>
        </w:rPr>
      </w:pPr>
      <m:oMath>
        <m:r>
          <w:rPr>
            <w:rFonts w:ascii="Cambria Math" w:eastAsiaTheme="minorHAnsi" w:hAnsi="Cambria Math"/>
            <w:sz w:val="24"/>
            <w:szCs w:val="24"/>
            <w:lang w:eastAsia="en-US"/>
          </w:rPr>
          <m:t>Y</m:t>
        </m:r>
      </m:oMath>
      <w:r>
        <w:rPr>
          <w:rFonts w:ascii="Times New Roman" w:eastAsiaTheme="minorHAnsi" w:hAnsi="Times New Roman"/>
          <w:sz w:val="24"/>
          <w:szCs w:val="24"/>
          <w:lang w:eastAsia="en-US"/>
        </w:rPr>
        <w:t xml:space="preserve"> – значение доходности соответствующего индекса, раскрытого ПАО «Московская биржа».</w:t>
      </w:r>
    </w:p>
    <w:p w14:paraId="4FFEBF66"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Формула 1 используется для долговых ценных бумаг входящих в котировальный уровень 3 ПАО «Московская биржа». Формула 2 используется для долговых ценных бумаг входящих в котировальный уровень 2 ПАО «Московская биржа».</w:t>
      </w:r>
    </w:p>
    <w:p w14:paraId="7B017A6D"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Рассчитывается медианное значение кредитного спреда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Times New Roman"/>
                <w:sz w:val="24"/>
                <w:szCs w:val="24"/>
                <w:lang w:eastAsia="en-US"/>
              </w:rPr>
              <m:t>РГ</m:t>
            </m:r>
            <m:r>
              <w:rPr>
                <w:rFonts w:ascii="Cambria Math" w:eastAsiaTheme="minorHAnsi" w:hAnsi="Cambria Math"/>
                <w:sz w:val="24"/>
                <w:szCs w:val="24"/>
                <w:lang w:eastAsia="en-US"/>
              </w:rPr>
              <m:t>IV</m:t>
            </m:r>
          </m:sub>
        </m:sSub>
      </m:oMath>
      <w:r>
        <w:rPr>
          <w:rFonts w:ascii="Times New Roman" w:eastAsiaTheme="minorHAnsi" w:hAnsi="Times New Roman"/>
          <w:sz w:val="24"/>
          <w:szCs w:val="24"/>
          <w:lang w:eastAsia="en-US"/>
        </w:rPr>
        <w:t xml:space="preserve"> за последние 20 торговых дней (медиана из полученного ряда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Times New Roman"/>
                <w:sz w:val="24"/>
                <w:szCs w:val="24"/>
                <w:lang w:eastAsia="en-US"/>
              </w:rPr>
              <m:t>РГ</m:t>
            </m:r>
            <m:r>
              <w:rPr>
                <w:rFonts w:ascii="Cambria Math" w:eastAsiaTheme="minorHAnsi" w:hAnsi="Cambria Math"/>
                <w:sz w:val="24"/>
                <w:szCs w:val="24"/>
                <w:lang w:eastAsia="en-US"/>
              </w:rPr>
              <m:t>IV</m:t>
            </m:r>
          </m:sub>
        </m:sSub>
      </m:oMath>
      <w:r>
        <w:rPr>
          <w:rFonts w:ascii="Times New Roman" w:eastAsiaTheme="minorHAnsi" w:hAnsi="Times New Roman"/>
          <w:sz w:val="24"/>
          <w:szCs w:val="24"/>
          <w:lang w:eastAsia="en-US"/>
        </w:rPr>
        <w:t xml:space="preserve">). При расчете значения медианного кредитного спреда промежуточные округления значений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Times New Roman"/>
                <w:sz w:val="24"/>
                <w:szCs w:val="24"/>
                <w:lang w:eastAsia="en-US"/>
              </w:rPr>
              <m:t>РГ</m:t>
            </m:r>
            <m:r>
              <w:rPr>
                <w:rFonts w:ascii="Cambria Math" w:eastAsiaTheme="minorHAnsi" w:hAnsi="Cambria Math"/>
                <w:sz w:val="24"/>
                <w:szCs w:val="24"/>
                <w:lang w:eastAsia="en-US"/>
              </w:rPr>
              <m:t>IV</m:t>
            </m:r>
          </m:sub>
        </m:sSub>
      </m:oMath>
      <w:r>
        <w:rPr>
          <w:rFonts w:ascii="Times New Roman" w:eastAsiaTheme="minorHAnsi" w:hAnsi="Times New Roman"/>
          <w:sz w:val="24"/>
          <w:szCs w:val="24"/>
          <w:lang w:eastAsia="en-US"/>
        </w:rPr>
        <w:t xml:space="preserve"> не производятся, результат расчета округляется по правилам математического округления с точностью до 2 знаков после запятой.</w:t>
      </w:r>
    </w:p>
    <w:p w14:paraId="02C2A7A7" w14:textId="77777777" w:rsidR="000C1E0E" w:rsidRDefault="000C1E0E" w:rsidP="000C1E0E">
      <w:pPr>
        <w:spacing w:line="360" w:lineRule="auto"/>
        <w:jc w:val="left"/>
        <w:rPr>
          <w:rFonts w:ascii="Times New Roman" w:eastAsiaTheme="minorHAnsi" w:hAnsi="Times New Roman"/>
          <w:b/>
          <w:sz w:val="24"/>
          <w:szCs w:val="24"/>
          <w:u w:val="single"/>
          <w:lang w:eastAsia="en-US"/>
        </w:rPr>
      </w:pPr>
    </w:p>
    <w:p w14:paraId="00A6757B" w14:textId="77777777" w:rsidR="000C1E0E" w:rsidRDefault="000C1E0E" w:rsidP="000C1E0E">
      <w:pPr>
        <w:spacing w:line="360" w:lineRule="auto"/>
        <w:jc w:val="left"/>
        <w:rPr>
          <w:rFonts w:ascii="Times New Roman" w:eastAsiaTheme="minorHAnsi" w:hAnsi="Times New Roman"/>
          <w:b/>
          <w:sz w:val="24"/>
          <w:szCs w:val="24"/>
          <w:u w:val="single"/>
          <w:lang w:eastAsia="en-US"/>
        </w:rPr>
      </w:pPr>
      <w:r>
        <w:rPr>
          <w:rFonts w:ascii="Times New Roman" w:eastAsiaTheme="minorHAnsi" w:hAnsi="Times New Roman"/>
          <w:b/>
          <w:sz w:val="24"/>
          <w:szCs w:val="24"/>
          <w:u w:val="single"/>
          <w:lang w:eastAsia="en-US"/>
        </w:rPr>
        <w:t>Еврооблигации</w:t>
      </w:r>
    </w:p>
    <w:p w14:paraId="0CF5B1ED" w14:textId="77777777" w:rsidR="000C1E0E" w:rsidRDefault="000C1E0E" w:rsidP="000C1E0E">
      <w:pPr>
        <w:spacing w:line="360" w:lineRule="auto"/>
        <w:ind w:firstLine="426"/>
        <w:jc w:val="left"/>
        <w:rPr>
          <w:rFonts w:ascii="Times New Roman" w:eastAsiaTheme="minorHAnsi" w:hAnsi="Times New Roman"/>
          <w:sz w:val="24"/>
          <w:szCs w:val="24"/>
          <w:lang w:eastAsia="en-US"/>
        </w:rPr>
      </w:pPr>
      <w:r>
        <w:rPr>
          <w:rFonts w:ascii="Times New Roman" w:eastAsiaTheme="minorHAnsi" w:hAnsi="Times New Roman"/>
          <w:b/>
          <w:sz w:val="24"/>
          <w:szCs w:val="24"/>
          <w:lang w:eastAsia="en-US"/>
        </w:rPr>
        <w:t>Уровень 3.</w:t>
      </w:r>
      <w:r>
        <w:rPr>
          <w:rFonts w:ascii="Times New Roman" w:eastAsiaTheme="minorHAnsi" w:hAnsi="Times New Roman"/>
          <w:sz w:val="24"/>
          <w:szCs w:val="24"/>
          <w:lang w:eastAsia="en-US"/>
        </w:rPr>
        <w:t xml:space="preserve"> </w:t>
      </w:r>
    </w:p>
    <w:p w14:paraId="48B78B16"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Для еврооблигаций, номинированных в долларах США, и в отношении которых известен конечный заемщик (по данным системы </w:t>
      </w:r>
      <w:r>
        <w:rPr>
          <w:rFonts w:ascii="Times New Roman" w:eastAsiaTheme="minorHAnsi" w:hAnsi="Times New Roman"/>
          <w:sz w:val="24"/>
          <w:szCs w:val="24"/>
          <w:lang w:val="en-US" w:eastAsia="en-US"/>
        </w:rPr>
        <w:t>cbonds</w:t>
      </w:r>
      <w:r>
        <w:rPr>
          <w:rFonts w:ascii="Times New Roman" w:eastAsiaTheme="minorHAnsi" w:hAnsi="Times New Roman"/>
          <w:sz w:val="24"/>
          <w:szCs w:val="24"/>
          <w:lang w:eastAsia="en-US"/>
        </w:rPr>
        <w:t>.</w:t>
      </w:r>
      <w:r>
        <w:rPr>
          <w:rFonts w:ascii="Times New Roman" w:eastAsiaTheme="minorHAnsi" w:hAnsi="Times New Roman"/>
          <w:sz w:val="24"/>
          <w:szCs w:val="24"/>
          <w:lang w:val="en-US" w:eastAsia="en-US"/>
        </w:rPr>
        <w:t>ru</w:t>
      </w:r>
      <w:r>
        <w:rPr>
          <w:rFonts w:ascii="Times New Roman" w:eastAsiaTheme="minorHAnsi" w:hAnsi="Times New Roman"/>
          <w:sz w:val="24"/>
          <w:szCs w:val="24"/>
          <w:lang w:eastAsia="en-US"/>
        </w:rPr>
        <w:t>), при этом «страной риска» заемщика является Россия, справедливая стоимость определяется согласно модели оценки справедливой стоимости рублевых облигаций на уровне 3 со следующими изменениями при расчете медианного кредитного спреда:</w:t>
      </w:r>
    </w:p>
    <w:p w14:paraId="445FA856"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Если для оцениваемой долговой ценной бумаги основным рынком является биржевой рынок, то медианный кредитный спред (</w:t>
      </w:r>
      <m:oMath>
        <m:r>
          <w:rPr>
            <w:rFonts w:ascii="Cambria Math" w:eastAsiaTheme="minorHAnsi" w:hAnsi="Cambria Math"/>
            <w:sz w:val="24"/>
            <w:szCs w:val="24"/>
            <w:lang w:eastAsia="en-US"/>
          </w:rPr>
          <m:t>CrSpread</m:t>
        </m:r>
      </m:oMath>
      <w:r>
        <w:rPr>
          <w:rFonts w:ascii="Times New Roman" w:eastAsiaTheme="minorHAnsi" w:hAnsi="Times New Roman"/>
          <w:sz w:val="24"/>
          <w:szCs w:val="24"/>
          <w:lang w:eastAsia="en-US"/>
        </w:rPr>
        <w:t>) рассчитывается на основании выбранных управляющей компанией ДУ ПИФ аналогичных долговых ценных бумаг, для которых на дату расчета СЧА (или в предыдущий торговый день, если дата определения СЧА является не торговым днем) рынок признается активным.</w:t>
      </w:r>
    </w:p>
    <w:p w14:paraId="24C9B307"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Если для оцениваемой долговой ценной бумаги основным рынком является внебиржевой рынок, то медианный кредитный спред (</w:t>
      </w:r>
      <m:oMath>
        <m:r>
          <w:rPr>
            <w:rFonts w:ascii="Cambria Math" w:eastAsiaTheme="minorHAnsi" w:hAnsi="Cambria Math"/>
            <w:sz w:val="24"/>
            <w:szCs w:val="24"/>
            <w:lang w:eastAsia="en-US"/>
          </w:rPr>
          <m:t>CrSpread</m:t>
        </m:r>
      </m:oMath>
      <w:r>
        <w:rPr>
          <w:rFonts w:ascii="Times New Roman" w:eastAsiaTheme="minorHAnsi" w:hAnsi="Times New Roman"/>
          <w:sz w:val="24"/>
          <w:szCs w:val="24"/>
          <w:lang w:eastAsia="en-US"/>
        </w:rPr>
        <w:t xml:space="preserve">) рассчитывается на основании выбранных управляющей компанией ДУ ПИФ аналогичных долговых ценных бумаг, для которых на дату расчета СЧА (или в предыдущий торговый день, если дата определения СЧА является не торговым днем) есть цены BGN, BVAL (Score равен или выше 6) или НКО АО НРД, </w:t>
      </w:r>
      <w:r>
        <w:rPr>
          <w:rFonts w:ascii="Times New Roman" w:eastAsiaTheme="minorHAnsi" w:hAnsi="Times New Roman"/>
          <w:sz w:val="24"/>
          <w:szCs w:val="24"/>
          <w:lang w:val="en-US" w:eastAsia="en-US"/>
        </w:rPr>
        <w:t>Thompson</w:t>
      </w:r>
      <w:r w:rsidRPr="00811E19">
        <w:rPr>
          <w:rFonts w:ascii="Times New Roman" w:eastAsiaTheme="minorHAnsi" w:hAnsi="Times New Roman"/>
          <w:sz w:val="24"/>
          <w:szCs w:val="24"/>
          <w:lang w:eastAsia="en-US"/>
        </w:rPr>
        <w:t xml:space="preserve"> </w:t>
      </w:r>
      <w:r>
        <w:rPr>
          <w:rFonts w:ascii="Times New Roman" w:eastAsiaTheme="minorHAnsi" w:hAnsi="Times New Roman"/>
          <w:sz w:val="24"/>
          <w:szCs w:val="24"/>
          <w:lang w:val="en-US" w:eastAsia="en-US"/>
        </w:rPr>
        <w:t>Reuters</w:t>
      </w:r>
      <w:r>
        <w:rPr>
          <w:rFonts w:ascii="Times New Roman" w:eastAsiaTheme="minorHAnsi" w:hAnsi="Times New Roman"/>
          <w:sz w:val="24"/>
          <w:szCs w:val="24"/>
          <w:lang w:eastAsia="en-US"/>
        </w:rPr>
        <w:t>.</w:t>
      </w:r>
    </w:p>
    <w:p w14:paraId="68E5C777"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Долговая ценная бумага признается аналогом для целей оценки в случае, если одновременно соблюдаются следующие условия:</w:t>
      </w:r>
    </w:p>
    <w:p w14:paraId="52221BB6" w14:textId="77777777" w:rsidR="000C1E0E" w:rsidRDefault="000C1E0E" w:rsidP="000C1E0E">
      <w:pPr>
        <w:numPr>
          <w:ilvl w:val="0"/>
          <w:numId w:val="15"/>
        </w:numPr>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валюта обращения аналога совпадает с валютой обращения оцениваемой долговой ценной бумаги;</w:t>
      </w:r>
    </w:p>
    <w:p w14:paraId="018DFC26" w14:textId="77777777" w:rsidR="000C1E0E" w:rsidRDefault="000C1E0E" w:rsidP="000C1E0E">
      <w:pPr>
        <w:numPr>
          <w:ilvl w:val="0"/>
          <w:numId w:val="15"/>
        </w:numPr>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дюрация аналога отклоняется от значения дюрации оцениваемой долговой ценной бумаги на +/- 90 дней (В случае, если невозможно выбрать ни одного аналога, по которому дюрация удовлетворяет обозначенному условию, допускается выбор аналогов с произвольной дюрацией, при условии, что средневзвешенная дюрация множества долговых ценных бумаг, выбранных в качестве аналогов, удовлетворяет обозначенному условию)</w:t>
      </w:r>
    </w:p>
    <w:p w14:paraId="3F0EE7EA" w14:textId="77777777" w:rsidR="000C1E0E" w:rsidRDefault="000C1E0E" w:rsidP="000C1E0E">
      <w:pPr>
        <w:numPr>
          <w:ilvl w:val="0"/>
          <w:numId w:val="15"/>
        </w:numPr>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аналог относится к той же рейтинговой группе что и оцениваемая долговая ценная бумага;</w:t>
      </w:r>
    </w:p>
    <w:p w14:paraId="39E3D8FF" w14:textId="77777777" w:rsidR="000C1E0E" w:rsidRDefault="000C1E0E" w:rsidP="000C1E0E">
      <w:pPr>
        <w:numPr>
          <w:ilvl w:val="0"/>
          <w:numId w:val="15"/>
        </w:numPr>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аналог является другим выпуском того же эмитента, что и оцениваемая долговая ценная бумага, а в случае отсутствия - эмитент аналога относится к тому же агрегированному сектору экономики и страной риска эмитента/конечного заемщика (по данным системы cbonds.ru) является Россия.</w:t>
      </w:r>
    </w:p>
    <w:p w14:paraId="75087D89" w14:textId="0CF4F69F" w:rsidR="000C1E0E" w:rsidRDefault="000C1E0E" w:rsidP="007255FA">
      <w:pPr>
        <w:spacing w:after="200" w:line="360" w:lineRule="auto"/>
        <w:ind w:left="786"/>
        <w:contextualSpacing/>
        <w:rPr>
          <w:rFonts w:ascii="Times New Roman" w:eastAsia="Calibri" w:hAnsi="Times New Roman"/>
          <w:sz w:val="24"/>
          <w:szCs w:val="24"/>
          <w:lang w:eastAsia="en-US"/>
        </w:rPr>
      </w:pPr>
      <w:r>
        <w:rPr>
          <w:rFonts w:ascii="Times New Roman" w:eastAsia="Calibri" w:hAnsi="Times New Roman"/>
          <w:sz w:val="24"/>
          <w:szCs w:val="24"/>
          <w:lang w:eastAsia="en-US"/>
        </w:rPr>
        <w:t>Список долговых ценных бумаг, признанных аналогичными, Управляющая компания предоставляет в Сп</w:t>
      </w:r>
      <w:r w:rsidR="007255FA">
        <w:rPr>
          <w:rFonts w:ascii="Times New Roman" w:eastAsia="Calibri" w:hAnsi="Times New Roman"/>
          <w:sz w:val="24"/>
          <w:szCs w:val="24"/>
          <w:lang w:eastAsia="en-US"/>
        </w:rPr>
        <w:t>ециализированный депозитарий по</w:t>
      </w:r>
      <w:r>
        <w:rPr>
          <w:rFonts w:ascii="Times New Roman" w:eastAsia="Calibri" w:hAnsi="Times New Roman"/>
          <w:sz w:val="24"/>
          <w:szCs w:val="24"/>
          <w:lang w:eastAsia="en-US"/>
        </w:rPr>
        <w:t xml:space="preserve">средством ЭДО не позднее рабочего дня, на который определяется справедливая стоимость ценных бумаг. </w:t>
      </w:r>
    </w:p>
    <w:p w14:paraId="61C4D4DF"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b/>
          <w:sz w:val="24"/>
          <w:szCs w:val="24"/>
          <w:lang w:eastAsia="en-US"/>
        </w:rPr>
        <w:t>Долговая ценная бумага может быть отнесена к одной из четырех рейтинговых групп</w:t>
      </w:r>
      <w:r>
        <w:rPr>
          <w:rFonts w:ascii="Times New Roman" w:eastAsiaTheme="minorHAnsi" w:hAnsi="Times New Roman"/>
          <w:sz w:val="24"/>
          <w:szCs w:val="24"/>
          <w:lang w:eastAsia="en-US"/>
        </w:rPr>
        <w:t xml:space="preserve"> в зависимости от кредитного рейтинга у выпуска долговой ценной бумаги (кредитный рейтинг в валюте номинала), а случае его отсутствия - рейтинга эмитента или поручителя (гаранта) долговой ценной бумаги. При наличии нескольких рейтингов, выбирается наибольший из имеющихся актуальных кредитных рейтингов. Если поручительство по выпуску долговой ценной бумаги обеспечивает исполнение обязательств в полном объёме и (или) гарантия выдана на сумму номинальной стоимости и процентов по таким долговым ценным бумагам, то выбирается наибольший из имеющихся актуальных кредитных рейтингов выпуска долговой ценной бумаги и поручителя (гаранта).</w:t>
      </w:r>
    </w:p>
    <w:tbl>
      <w:tblPr>
        <w:tblW w:w="7112" w:type="dxa"/>
        <w:jc w:val="center"/>
        <w:tblLook w:val="04A0" w:firstRow="1" w:lastRow="0" w:firstColumn="1" w:lastColumn="0" w:noHBand="0" w:noVBand="1"/>
      </w:tblPr>
      <w:tblGrid>
        <w:gridCol w:w="1986"/>
        <w:gridCol w:w="1986"/>
        <w:gridCol w:w="1986"/>
        <w:gridCol w:w="1611"/>
      </w:tblGrid>
      <w:tr w:rsidR="000C1E0E" w14:paraId="7617E59B" w14:textId="77777777" w:rsidTr="0098752B">
        <w:trPr>
          <w:trHeight w:val="180"/>
          <w:jc w:val="center"/>
        </w:trPr>
        <w:tc>
          <w:tcPr>
            <w:tcW w:w="1845" w:type="dxa"/>
            <w:tcBorders>
              <w:top w:val="single" w:sz="4" w:space="0" w:color="auto"/>
              <w:left w:val="single" w:sz="4" w:space="0" w:color="auto"/>
              <w:bottom w:val="single" w:sz="4" w:space="0" w:color="auto"/>
              <w:right w:val="single" w:sz="4" w:space="0" w:color="auto"/>
            </w:tcBorders>
            <w:noWrap/>
            <w:vAlign w:val="center"/>
            <w:hideMark/>
          </w:tcPr>
          <w:p w14:paraId="572762A0"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Moody`s</w:t>
            </w:r>
          </w:p>
        </w:tc>
        <w:tc>
          <w:tcPr>
            <w:tcW w:w="1845" w:type="dxa"/>
            <w:tcBorders>
              <w:top w:val="single" w:sz="8" w:space="0" w:color="auto"/>
              <w:left w:val="single" w:sz="4" w:space="0" w:color="auto"/>
              <w:bottom w:val="single" w:sz="4" w:space="0" w:color="auto"/>
              <w:right w:val="nil"/>
            </w:tcBorders>
            <w:vAlign w:val="center"/>
            <w:hideMark/>
          </w:tcPr>
          <w:p w14:paraId="1CFF7862"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S&amp;P</w:t>
            </w:r>
          </w:p>
        </w:tc>
        <w:tc>
          <w:tcPr>
            <w:tcW w:w="1845" w:type="dxa"/>
            <w:tcBorders>
              <w:top w:val="single" w:sz="8" w:space="0" w:color="auto"/>
              <w:left w:val="single" w:sz="8" w:space="0" w:color="auto"/>
              <w:bottom w:val="single" w:sz="4" w:space="0" w:color="auto"/>
              <w:right w:val="single" w:sz="8" w:space="0" w:color="auto"/>
            </w:tcBorders>
            <w:noWrap/>
            <w:vAlign w:val="center"/>
            <w:hideMark/>
          </w:tcPr>
          <w:p w14:paraId="0FB9FC6E"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Fitch</w:t>
            </w:r>
          </w:p>
        </w:tc>
        <w:tc>
          <w:tcPr>
            <w:tcW w:w="1577" w:type="dxa"/>
            <w:vMerge w:val="restart"/>
            <w:tcBorders>
              <w:top w:val="single" w:sz="8" w:space="0" w:color="auto"/>
              <w:left w:val="single" w:sz="8" w:space="0" w:color="auto"/>
              <w:bottom w:val="single" w:sz="4" w:space="0" w:color="auto"/>
              <w:right w:val="single" w:sz="8" w:space="0" w:color="auto"/>
            </w:tcBorders>
            <w:noWrap/>
            <w:vAlign w:val="center"/>
            <w:hideMark/>
          </w:tcPr>
          <w:p w14:paraId="6D15BD9B"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Рейтинговая группа</w:t>
            </w:r>
          </w:p>
        </w:tc>
      </w:tr>
      <w:tr w:rsidR="000C1E0E" w14:paraId="17B4423D" w14:textId="77777777" w:rsidTr="0098752B">
        <w:trPr>
          <w:trHeight w:val="613"/>
          <w:jc w:val="center"/>
        </w:trPr>
        <w:tc>
          <w:tcPr>
            <w:tcW w:w="1845" w:type="dxa"/>
            <w:tcBorders>
              <w:top w:val="single" w:sz="4" w:space="0" w:color="auto"/>
              <w:left w:val="single" w:sz="4" w:space="0" w:color="auto"/>
              <w:bottom w:val="single" w:sz="4" w:space="0" w:color="auto"/>
              <w:right w:val="single" w:sz="4" w:space="0" w:color="auto"/>
            </w:tcBorders>
            <w:vAlign w:val="center"/>
            <w:hideMark/>
          </w:tcPr>
          <w:p w14:paraId="0DD066B8"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Международная шкала</w:t>
            </w:r>
          </w:p>
        </w:tc>
        <w:tc>
          <w:tcPr>
            <w:tcW w:w="1845" w:type="dxa"/>
            <w:tcBorders>
              <w:top w:val="single" w:sz="4" w:space="0" w:color="auto"/>
              <w:left w:val="single" w:sz="4" w:space="0" w:color="auto"/>
              <w:bottom w:val="single" w:sz="4" w:space="0" w:color="auto"/>
              <w:right w:val="single" w:sz="4" w:space="0" w:color="auto"/>
            </w:tcBorders>
            <w:vAlign w:val="center"/>
            <w:hideMark/>
          </w:tcPr>
          <w:p w14:paraId="0F015A9E"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Международная шкала</w:t>
            </w:r>
          </w:p>
        </w:tc>
        <w:tc>
          <w:tcPr>
            <w:tcW w:w="1845" w:type="dxa"/>
            <w:tcBorders>
              <w:top w:val="single" w:sz="4" w:space="0" w:color="auto"/>
              <w:left w:val="single" w:sz="4" w:space="0" w:color="auto"/>
              <w:bottom w:val="single" w:sz="4" w:space="0" w:color="auto"/>
              <w:right w:val="single" w:sz="4" w:space="0" w:color="auto"/>
            </w:tcBorders>
            <w:vAlign w:val="center"/>
            <w:hideMark/>
          </w:tcPr>
          <w:p w14:paraId="41FE1499"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Международная шкала</w:t>
            </w:r>
          </w:p>
        </w:tc>
        <w:tc>
          <w:tcPr>
            <w:tcW w:w="0" w:type="auto"/>
            <w:vMerge/>
            <w:tcBorders>
              <w:top w:val="single" w:sz="8" w:space="0" w:color="auto"/>
              <w:left w:val="single" w:sz="8" w:space="0" w:color="auto"/>
              <w:bottom w:val="single" w:sz="4" w:space="0" w:color="auto"/>
              <w:right w:val="single" w:sz="8" w:space="0" w:color="auto"/>
            </w:tcBorders>
            <w:vAlign w:val="center"/>
            <w:hideMark/>
          </w:tcPr>
          <w:p w14:paraId="4B690A12"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3A036303"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noWrap/>
            <w:vAlign w:val="center"/>
            <w:hideMark/>
          </w:tcPr>
          <w:p w14:paraId="795DCEA3"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Ваа1</w:t>
            </w:r>
          </w:p>
        </w:tc>
        <w:tc>
          <w:tcPr>
            <w:tcW w:w="1845" w:type="dxa"/>
            <w:tcBorders>
              <w:top w:val="single" w:sz="4" w:space="0" w:color="auto"/>
              <w:left w:val="single" w:sz="4" w:space="0" w:color="auto"/>
              <w:bottom w:val="single" w:sz="8" w:space="0" w:color="auto"/>
              <w:right w:val="single" w:sz="8" w:space="0" w:color="auto"/>
            </w:tcBorders>
            <w:vAlign w:val="center"/>
            <w:hideMark/>
          </w:tcPr>
          <w:p w14:paraId="1ECD3110"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845" w:type="dxa"/>
            <w:tcBorders>
              <w:top w:val="single" w:sz="4" w:space="0" w:color="auto"/>
              <w:left w:val="nil"/>
              <w:bottom w:val="single" w:sz="8" w:space="0" w:color="auto"/>
              <w:right w:val="single" w:sz="4" w:space="0" w:color="auto"/>
            </w:tcBorders>
            <w:noWrap/>
            <w:vAlign w:val="center"/>
            <w:hideMark/>
          </w:tcPr>
          <w:p w14:paraId="40DFF13A"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577" w:type="dxa"/>
            <w:vMerge w:val="restart"/>
            <w:tcBorders>
              <w:top w:val="single" w:sz="4" w:space="0" w:color="auto"/>
              <w:left w:val="single" w:sz="4" w:space="0" w:color="auto"/>
              <w:bottom w:val="single" w:sz="4" w:space="0" w:color="auto"/>
              <w:right w:val="single" w:sz="4" w:space="0" w:color="auto"/>
            </w:tcBorders>
            <w:noWrap/>
            <w:vAlign w:val="center"/>
            <w:hideMark/>
          </w:tcPr>
          <w:p w14:paraId="6A3623AC"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Рейтинговая группа I</w:t>
            </w:r>
          </w:p>
        </w:tc>
      </w:tr>
      <w:tr w:rsidR="000C1E0E" w14:paraId="124F8654"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noWrap/>
            <w:vAlign w:val="center"/>
            <w:hideMark/>
          </w:tcPr>
          <w:p w14:paraId="2EFA48A7"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Ваа2</w:t>
            </w:r>
          </w:p>
        </w:tc>
        <w:tc>
          <w:tcPr>
            <w:tcW w:w="1845" w:type="dxa"/>
            <w:tcBorders>
              <w:top w:val="nil"/>
              <w:left w:val="single" w:sz="4" w:space="0" w:color="auto"/>
              <w:bottom w:val="single" w:sz="8" w:space="0" w:color="auto"/>
              <w:right w:val="single" w:sz="8" w:space="0" w:color="auto"/>
            </w:tcBorders>
            <w:vAlign w:val="center"/>
            <w:hideMark/>
          </w:tcPr>
          <w:p w14:paraId="52C1EAFC"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845" w:type="dxa"/>
            <w:tcBorders>
              <w:top w:val="nil"/>
              <w:left w:val="nil"/>
              <w:bottom w:val="single" w:sz="8" w:space="0" w:color="auto"/>
              <w:right w:val="single" w:sz="4" w:space="0" w:color="auto"/>
            </w:tcBorders>
            <w:noWrap/>
            <w:vAlign w:val="center"/>
            <w:hideMark/>
          </w:tcPr>
          <w:p w14:paraId="7460A7DA"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143C06"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2DDE64BF"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noWrap/>
            <w:vAlign w:val="center"/>
            <w:hideMark/>
          </w:tcPr>
          <w:p w14:paraId="0FE0F752"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Ваа3</w:t>
            </w:r>
          </w:p>
        </w:tc>
        <w:tc>
          <w:tcPr>
            <w:tcW w:w="1845" w:type="dxa"/>
            <w:tcBorders>
              <w:top w:val="nil"/>
              <w:left w:val="single" w:sz="4" w:space="0" w:color="auto"/>
              <w:bottom w:val="single" w:sz="8" w:space="0" w:color="auto"/>
              <w:right w:val="single" w:sz="8" w:space="0" w:color="auto"/>
            </w:tcBorders>
            <w:vAlign w:val="center"/>
            <w:hideMark/>
          </w:tcPr>
          <w:p w14:paraId="447CBE1C"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845" w:type="dxa"/>
            <w:tcBorders>
              <w:top w:val="nil"/>
              <w:left w:val="nil"/>
              <w:bottom w:val="single" w:sz="8" w:space="0" w:color="auto"/>
              <w:right w:val="single" w:sz="4" w:space="0" w:color="auto"/>
            </w:tcBorders>
            <w:noWrap/>
            <w:vAlign w:val="center"/>
            <w:hideMark/>
          </w:tcPr>
          <w:p w14:paraId="0096104B"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FBB1BD"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247D4361"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noWrap/>
            <w:vAlign w:val="center"/>
            <w:hideMark/>
          </w:tcPr>
          <w:p w14:paraId="47CBC47F"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Ва1</w:t>
            </w:r>
          </w:p>
        </w:tc>
        <w:tc>
          <w:tcPr>
            <w:tcW w:w="1845" w:type="dxa"/>
            <w:tcBorders>
              <w:top w:val="nil"/>
              <w:left w:val="single" w:sz="4" w:space="0" w:color="auto"/>
              <w:bottom w:val="single" w:sz="8" w:space="0" w:color="auto"/>
              <w:right w:val="single" w:sz="8" w:space="0" w:color="auto"/>
            </w:tcBorders>
            <w:vAlign w:val="center"/>
            <w:hideMark/>
          </w:tcPr>
          <w:p w14:paraId="6F3E1ACE"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845" w:type="dxa"/>
            <w:tcBorders>
              <w:top w:val="nil"/>
              <w:left w:val="nil"/>
              <w:bottom w:val="single" w:sz="8" w:space="0" w:color="auto"/>
              <w:right w:val="single" w:sz="8" w:space="0" w:color="auto"/>
            </w:tcBorders>
            <w:noWrap/>
            <w:vAlign w:val="center"/>
            <w:hideMark/>
          </w:tcPr>
          <w:p w14:paraId="3C975130"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577" w:type="dxa"/>
            <w:vMerge w:val="restart"/>
            <w:tcBorders>
              <w:top w:val="single" w:sz="4" w:space="0" w:color="auto"/>
              <w:left w:val="single" w:sz="8" w:space="0" w:color="auto"/>
              <w:bottom w:val="single" w:sz="8" w:space="0" w:color="000000"/>
              <w:right w:val="single" w:sz="8" w:space="0" w:color="auto"/>
            </w:tcBorders>
            <w:vAlign w:val="center"/>
            <w:hideMark/>
          </w:tcPr>
          <w:p w14:paraId="14127E20"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Рейтинговая группа II</w:t>
            </w:r>
          </w:p>
        </w:tc>
      </w:tr>
      <w:tr w:rsidR="000C1E0E" w14:paraId="3490033A"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noWrap/>
            <w:vAlign w:val="center"/>
            <w:hideMark/>
          </w:tcPr>
          <w:p w14:paraId="748EAB17"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Ва2</w:t>
            </w:r>
          </w:p>
        </w:tc>
        <w:tc>
          <w:tcPr>
            <w:tcW w:w="1845" w:type="dxa"/>
            <w:tcBorders>
              <w:top w:val="nil"/>
              <w:left w:val="single" w:sz="4" w:space="0" w:color="auto"/>
              <w:bottom w:val="single" w:sz="8" w:space="0" w:color="auto"/>
              <w:right w:val="single" w:sz="8" w:space="0" w:color="auto"/>
            </w:tcBorders>
            <w:vAlign w:val="center"/>
            <w:hideMark/>
          </w:tcPr>
          <w:p w14:paraId="20467CCE"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845" w:type="dxa"/>
            <w:tcBorders>
              <w:top w:val="nil"/>
              <w:left w:val="nil"/>
              <w:bottom w:val="single" w:sz="8" w:space="0" w:color="auto"/>
              <w:right w:val="single" w:sz="8" w:space="0" w:color="auto"/>
            </w:tcBorders>
            <w:noWrap/>
            <w:vAlign w:val="center"/>
            <w:hideMark/>
          </w:tcPr>
          <w:p w14:paraId="4B2EB072"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0" w:type="auto"/>
            <w:vMerge/>
            <w:tcBorders>
              <w:top w:val="single" w:sz="4" w:space="0" w:color="auto"/>
              <w:left w:val="single" w:sz="8" w:space="0" w:color="auto"/>
              <w:bottom w:val="single" w:sz="8" w:space="0" w:color="000000"/>
              <w:right w:val="single" w:sz="8" w:space="0" w:color="auto"/>
            </w:tcBorders>
            <w:vAlign w:val="center"/>
            <w:hideMark/>
          </w:tcPr>
          <w:p w14:paraId="5933D570"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546F515C"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vAlign w:val="center"/>
            <w:hideMark/>
          </w:tcPr>
          <w:p w14:paraId="13D8A43C"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Ва3</w:t>
            </w:r>
          </w:p>
        </w:tc>
        <w:tc>
          <w:tcPr>
            <w:tcW w:w="1845" w:type="dxa"/>
            <w:tcBorders>
              <w:top w:val="nil"/>
              <w:left w:val="single" w:sz="4" w:space="0" w:color="auto"/>
              <w:bottom w:val="single" w:sz="8" w:space="0" w:color="auto"/>
              <w:right w:val="single" w:sz="8" w:space="0" w:color="auto"/>
            </w:tcBorders>
            <w:vAlign w:val="center"/>
            <w:hideMark/>
          </w:tcPr>
          <w:p w14:paraId="7921554E"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845" w:type="dxa"/>
            <w:tcBorders>
              <w:top w:val="nil"/>
              <w:left w:val="nil"/>
              <w:bottom w:val="single" w:sz="8" w:space="0" w:color="auto"/>
              <w:right w:val="single" w:sz="8" w:space="0" w:color="auto"/>
            </w:tcBorders>
            <w:vAlign w:val="center"/>
            <w:hideMark/>
          </w:tcPr>
          <w:p w14:paraId="0ED2846E"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0" w:type="auto"/>
            <w:vMerge/>
            <w:tcBorders>
              <w:top w:val="single" w:sz="4" w:space="0" w:color="auto"/>
              <w:left w:val="single" w:sz="8" w:space="0" w:color="auto"/>
              <w:bottom w:val="single" w:sz="8" w:space="0" w:color="000000"/>
              <w:right w:val="single" w:sz="8" w:space="0" w:color="auto"/>
            </w:tcBorders>
            <w:vAlign w:val="center"/>
            <w:hideMark/>
          </w:tcPr>
          <w:p w14:paraId="3D2F2370"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1B687E30"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vAlign w:val="center"/>
            <w:hideMark/>
          </w:tcPr>
          <w:p w14:paraId="4D910FD0"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В1</w:t>
            </w:r>
          </w:p>
        </w:tc>
        <w:tc>
          <w:tcPr>
            <w:tcW w:w="1845" w:type="dxa"/>
            <w:tcBorders>
              <w:top w:val="nil"/>
              <w:left w:val="single" w:sz="4" w:space="0" w:color="auto"/>
              <w:bottom w:val="single" w:sz="8" w:space="0" w:color="auto"/>
              <w:right w:val="single" w:sz="8" w:space="0" w:color="auto"/>
            </w:tcBorders>
            <w:vAlign w:val="center"/>
            <w:hideMark/>
          </w:tcPr>
          <w:p w14:paraId="51186CC9"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1845" w:type="dxa"/>
            <w:tcBorders>
              <w:top w:val="nil"/>
              <w:left w:val="nil"/>
              <w:bottom w:val="single" w:sz="8" w:space="0" w:color="auto"/>
              <w:right w:val="single" w:sz="8" w:space="0" w:color="auto"/>
            </w:tcBorders>
            <w:vAlign w:val="center"/>
            <w:hideMark/>
          </w:tcPr>
          <w:p w14:paraId="31124D23"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1577" w:type="dxa"/>
            <w:vMerge w:val="restart"/>
            <w:tcBorders>
              <w:top w:val="nil"/>
              <w:left w:val="single" w:sz="8" w:space="0" w:color="auto"/>
              <w:bottom w:val="single" w:sz="8" w:space="0" w:color="000000"/>
              <w:right w:val="single" w:sz="8" w:space="0" w:color="auto"/>
            </w:tcBorders>
            <w:vAlign w:val="center"/>
            <w:hideMark/>
          </w:tcPr>
          <w:p w14:paraId="262603B2" w14:textId="77777777" w:rsidR="000C1E0E" w:rsidRDefault="000C1E0E" w:rsidP="0098752B">
            <w:pPr>
              <w:spacing w:after="200" w:line="360" w:lineRule="auto"/>
              <w:jc w:val="center"/>
              <w:rPr>
                <w:rFonts w:ascii="Times New Roman" w:eastAsiaTheme="minorHAnsi" w:hAnsi="Times New Roman"/>
                <w:b/>
                <w:bCs/>
                <w:sz w:val="24"/>
                <w:szCs w:val="24"/>
                <w:lang w:val="en-US" w:eastAsia="en-US"/>
              </w:rPr>
            </w:pPr>
            <w:r>
              <w:rPr>
                <w:rFonts w:ascii="Times New Roman" w:eastAsiaTheme="minorHAnsi" w:hAnsi="Times New Roman"/>
                <w:b/>
                <w:bCs/>
                <w:sz w:val="24"/>
                <w:szCs w:val="24"/>
                <w:lang w:eastAsia="en-US"/>
              </w:rPr>
              <w:t>Рейтинговая группа II</w:t>
            </w:r>
            <w:r>
              <w:rPr>
                <w:rFonts w:ascii="Times New Roman" w:eastAsiaTheme="minorHAnsi" w:hAnsi="Times New Roman"/>
                <w:b/>
                <w:bCs/>
                <w:sz w:val="24"/>
                <w:szCs w:val="24"/>
                <w:lang w:val="en-US" w:eastAsia="en-US"/>
              </w:rPr>
              <w:t>I</w:t>
            </w:r>
          </w:p>
        </w:tc>
      </w:tr>
      <w:tr w:rsidR="000C1E0E" w14:paraId="2895428A"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vAlign w:val="center"/>
            <w:hideMark/>
          </w:tcPr>
          <w:p w14:paraId="12BDA599"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В2</w:t>
            </w:r>
          </w:p>
        </w:tc>
        <w:tc>
          <w:tcPr>
            <w:tcW w:w="1845" w:type="dxa"/>
            <w:tcBorders>
              <w:top w:val="nil"/>
              <w:left w:val="single" w:sz="4" w:space="0" w:color="auto"/>
              <w:bottom w:val="single" w:sz="8" w:space="0" w:color="auto"/>
              <w:right w:val="single" w:sz="8" w:space="0" w:color="auto"/>
            </w:tcBorders>
            <w:vAlign w:val="center"/>
            <w:hideMark/>
          </w:tcPr>
          <w:p w14:paraId="10868DDD"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1845" w:type="dxa"/>
            <w:tcBorders>
              <w:top w:val="nil"/>
              <w:left w:val="nil"/>
              <w:bottom w:val="single" w:sz="8" w:space="0" w:color="auto"/>
              <w:right w:val="single" w:sz="8" w:space="0" w:color="auto"/>
            </w:tcBorders>
            <w:vAlign w:val="center"/>
            <w:hideMark/>
          </w:tcPr>
          <w:p w14:paraId="14FD225E"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0" w:type="auto"/>
            <w:vMerge/>
            <w:tcBorders>
              <w:top w:val="nil"/>
              <w:left w:val="single" w:sz="8" w:space="0" w:color="auto"/>
              <w:bottom w:val="single" w:sz="8" w:space="0" w:color="000000"/>
              <w:right w:val="single" w:sz="8" w:space="0" w:color="auto"/>
            </w:tcBorders>
            <w:vAlign w:val="center"/>
            <w:hideMark/>
          </w:tcPr>
          <w:p w14:paraId="4E1C23C6" w14:textId="77777777" w:rsidR="000C1E0E" w:rsidRDefault="000C1E0E" w:rsidP="0098752B">
            <w:pPr>
              <w:spacing w:line="240" w:lineRule="auto"/>
              <w:jc w:val="left"/>
              <w:rPr>
                <w:rFonts w:ascii="Times New Roman" w:eastAsiaTheme="minorHAnsi" w:hAnsi="Times New Roman"/>
                <w:b/>
                <w:bCs/>
                <w:sz w:val="24"/>
                <w:szCs w:val="24"/>
                <w:lang w:val="en-US" w:eastAsia="en-US"/>
              </w:rPr>
            </w:pPr>
          </w:p>
        </w:tc>
      </w:tr>
      <w:tr w:rsidR="000C1E0E" w14:paraId="2385CF65"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vAlign w:val="center"/>
            <w:hideMark/>
          </w:tcPr>
          <w:p w14:paraId="01267949"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B3</w:t>
            </w:r>
          </w:p>
        </w:tc>
        <w:tc>
          <w:tcPr>
            <w:tcW w:w="1845" w:type="dxa"/>
            <w:tcBorders>
              <w:top w:val="nil"/>
              <w:left w:val="single" w:sz="4" w:space="0" w:color="auto"/>
              <w:bottom w:val="single" w:sz="8" w:space="0" w:color="auto"/>
              <w:right w:val="single" w:sz="8" w:space="0" w:color="auto"/>
            </w:tcBorders>
            <w:vAlign w:val="center"/>
            <w:hideMark/>
          </w:tcPr>
          <w:p w14:paraId="3C078E22"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w:t>
            </w:r>
          </w:p>
        </w:tc>
        <w:tc>
          <w:tcPr>
            <w:tcW w:w="1845" w:type="dxa"/>
            <w:tcBorders>
              <w:top w:val="nil"/>
              <w:left w:val="nil"/>
              <w:bottom w:val="single" w:sz="8" w:space="0" w:color="auto"/>
              <w:right w:val="single" w:sz="8" w:space="0" w:color="auto"/>
            </w:tcBorders>
            <w:vAlign w:val="center"/>
            <w:hideMark/>
          </w:tcPr>
          <w:p w14:paraId="08E47311"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w:t>
            </w:r>
          </w:p>
        </w:tc>
        <w:tc>
          <w:tcPr>
            <w:tcW w:w="0" w:type="auto"/>
            <w:vMerge/>
            <w:tcBorders>
              <w:top w:val="nil"/>
              <w:left w:val="single" w:sz="8" w:space="0" w:color="auto"/>
              <w:bottom w:val="single" w:sz="8" w:space="0" w:color="000000"/>
              <w:right w:val="single" w:sz="8" w:space="0" w:color="auto"/>
            </w:tcBorders>
            <w:vAlign w:val="center"/>
            <w:hideMark/>
          </w:tcPr>
          <w:p w14:paraId="3F1F0168" w14:textId="77777777" w:rsidR="000C1E0E" w:rsidRDefault="000C1E0E" w:rsidP="0098752B">
            <w:pPr>
              <w:spacing w:line="240" w:lineRule="auto"/>
              <w:jc w:val="left"/>
              <w:rPr>
                <w:rFonts w:ascii="Times New Roman" w:eastAsiaTheme="minorHAnsi" w:hAnsi="Times New Roman"/>
                <w:b/>
                <w:bCs/>
                <w:sz w:val="24"/>
                <w:szCs w:val="24"/>
                <w:lang w:val="en-US" w:eastAsia="en-US"/>
              </w:rPr>
            </w:pPr>
          </w:p>
        </w:tc>
      </w:tr>
      <w:tr w:rsidR="000C1E0E" w14:paraId="24BB0A36" w14:textId="77777777" w:rsidTr="0098752B">
        <w:trPr>
          <w:trHeight w:val="345"/>
          <w:jc w:val="center"/>
        </w:trPr>
        <w:tc>
          <w:tcPr>
            <w:tcW w:w="5535" w:type="dxa"/>
            <w:gridSpan w:val="3"/>
            <w:tcBorders>
              <w:top w:val="single" w:sz="8" w:space="0" w:color="auto"/>
              <w:left w:val="single" w:sz="8" w:space="0" w:color="auto"/>
              <w:bottom w:val="single" w:sz="8" w:space="0" w:color="auto"/>
              <w:right w:val="single" w:sz="8" w:space="0" w:color="000000"/>
            </w:tcBorders>
            <w:vAlign w:val="center"/>
            <w:hideMark/>
          </w:tcPr>
          <w:p w14:paraId="5F721CA6"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Более низкий рейтинг / рейтинг отсутствует</w:t>
            </w:r>
          </w:p>
        </w:tc>
        <w:tc>
          <w:tcPr>
            <w:tcW w:w="1577" w:type="dxa"/>
            <w:tcBorders>
              <w:top w:val="nil"/>
              <w:left w:val="nil"/>
              <w:bottom w:val="single" w:sz="8" w:space="0" w:color="auto"/>
              <w:right w:val="single" w:sz="8" w:space="0" w:color="auto"/>
            </w:tcBorders>
            <w:noWrap/>
            <w:vAlign w:val="center"/>
            <w:hideMark/>
          </w:tcPr>
          <w:p w14:paraId="37C1E6AB" w14:textId="77777777" w:rsidR="000C1E0E" w:rsidRDefault="000C1E0E" w:rsidP="0098752B">
            <w:pPr>
              <w:spacing w:after="200" w:line="360" w:lineRule="auto"/>
              <w:jc w:val="center"/>
              <w:rPr>
                <w:rFonts w:ascii="Times New Roman" w:eastAsiaTheme="minorHAnsi" w:hAnsi="Times New Roman"/>
                <w:b/>
                <w:bCs/>
                <w:sz w:val="24"/>
                <w:szCs w:val="24"/>
                <w:lang w:val="en-US" w:eastAsia="en-US"/>
              </w:rPr>
            </w:pPr>
            <w:r>
              <w:rPr>
                <w:rFonts w:ascii="Times New Roman" w:eastAsiaTheme="minorHAnsi" w:hAnsi="Times New Roman"/>
                <w:b/>
                <w:bCs/>
                <w:sz w:val="24"/>
                <w:szCs w:val="24"/>
                <w:lang w:eastAsia="en-US"/>
              </w:rPr>
              <w:t>Рейтинговая группа I</w:t>
            </w:r>
            <w:r>
              <w:rPr>
                <w:rFonts w:ascii="Times New Roman" w:eastAsiaTheme="minorHAnsi" w:hAnsi="Times New Roman"/>
                <w:b/>
                <w:bCs/>
                <w:sz w:val="24"/>
                <w:szCs w:val="24"/>
                <w:lang w:val="en-US" w:eastAsia="en-US"/>
              </w:rPr>
              <w:t>V</w:t>
            </w:r>
          </w:p>
        </w:tc>
      </w:tr>
    </w:tbl>
    <w:p w14:paraId="36837629" w14:textId="77777777" w:rsidR="000C1E0E" w:rsidRDefault="000C1E0E" w:rsidP="000C1E0E">
      <w:pPr>
        <w:autoSpaceDE w:val="0"/>
        <w:autoSpaceDN w:val="0"/>
        <w:adjustRightInd w:val="0"/>
        <w:spacing w:after="200" w:line="360" w:lineRule="auto"/>
        <w:jc w:val="left"/>
        <w:rPr>
          <w:rFonts w:ascii="Times New Roman" w:eastAsiaTheme="minorHAnsi" w:hAnsi="Times New Roman"/>
          <w:sz w:val="24"/>
          <w:szCs w:val="24"/>
          <w:lang w:eastAsia="en-US"/>
        </w:rPr>
      </w:pPr>
    </w:p>
    <w:p w14:paraId="6C58D3BD" w14:textId="77777777" w:rsidR="000C1E0E" w:rsidRDefault="000C1E0E" w:rsidP="000C1E0E">
      <w:pPr>
        <w:autoSpaceDE w:val="0"/>
        <w:autoSpaceDN w:val="0"/>
        <w:adjustRightInd w:val="0"/>
        <w:spacing w:after="200" w:line="360" w:lineRule="auto"/>
        <w:ind w:left="426"/>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Для целей настоящей методики выделяются следующие </w:t>
      </w:r>
      <w:r>
        <w:rPr>
          <w:rFonts w:ascii="Times New Roman" w:eastAsiaTheme="minorHAnsi" w:hAnsi="Times New Roman"/>
          <w:b/>
          <w:sz w:val="24"/>
          <w:szCs w:val="24"/>
          <w:lang w:eastAsia="en-US"/>
        </w:rPr>
        <w:t>агрегированные секторы</w:t>
      </w:r>
      <w:r>
        <w:rPr>
          <w:rFonts w:ascii="Times New Roman" w:eastAsiaTheme="minorHAnsi" w:hAnsi="Times New Roman"/>
          <w:sz w:val="24"/>
          <w:szCs w:val="24"/>
          <w:lang w:eastAsia="en-US"/>
        </w:rPr>
        <w:t xml:space="preserve"> </w:t>
      </w:r>
      <w:r>
        <w:rPr>
          <w:rFonts w:ascii="Times New Roman" w:eastAsiaTheme="minorHAnsi" w:hAnsi="Times New Roman"/>
          <w:b/>
          <w:sz w:val="24"/>
          <w:szCs w:val="24"/>
          <w:lang w:eastAsia="en-US"/>
        </w:rPr>
        <w:t>экономики:</w:t>
      </w:r>
      <w:r>
        <w:rPr>
          <w:rFonts w:ascii="Times New Roman" w:eastAsiaTheme="minorHAnsi" w:hAnsi="Times New Roman"/>
          <w:sz w:val="24"/>
          <w:szCs w:val="24"/>
          <w:lang w:eastAsia="en-US"/>
        </w:rPr>
        <w:t xml:space="preserve"> </w:t>
      </w:r>
    </w:p>
    <w:p w14:paraId="26BFF97D" w14:textId="77777777" w:rsidR="000C1E0E" w:rsidRDefault="000C1E0E" w:rsidP="000C1E0E">
      <w:pPr>
        <w:numPr>
          <w:ilvl w:val="0"/>
          <w:numId w:val="14"/>
        </w:numPr>
        <w:autoSpaceDE w:val="0"/>
        <w:autoSpaceDN w:val="0"/>
        <w:adjustRightInd w:val="0"/>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 xml:space="preserve">финансовый сектор, </w:t>
      </w:r>
    </w:p>
    <w:p w14:paraId="2DD3059B" w14:textId="77777777" w:rsidR="000C1E0E" w:rsidRDefault="000C1E0E" w:rsidP="000C1E0E">
      <w:pPr>
        <w:numPr>
          <w:ilvl w:val="0"/>
          <w:numId w:val="14"/>
        </w:numPr>
        <w:autoSpaceDE w:val="0"/>
        <w:autoSpaceDN w:val="0"/>
        <w:adjustRightInd w:val="0"/>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 xml:space="preserve">сектор региональных и муниципальных выпусков; </w:t>
      </w:r>
    </w:p>
    <w:p w14:paraId="138AD2F1" w14:textId="77777777" w:rsidR="000C1E0E" w:rsidRDefault="000C1E0E" w:rsidP="000C1E0E">
      <w:pPr>
        <w:numPr>
          <w:ilvl w:val="0"/>
          <w:numId w:val="14"/>
        </w:numPr>
        <w:autoSpaceDE w:val="0"/>
        <w:autoSpaceDN w:val="0"/>
        <w:adjustRightInd w:val="0"/>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 xml:space="preserve">корпоративный сектор; </w:t>
      </w:r>
    </w:p>
    <w:p w14:paraId="4FCB33E7" w14:textId="77777777" w:rsidR="000C1E0E" w:rsidRDefault="000C1E0E" w:rsidP="000C1E0E">
      <w:pPr>
        <w:numPr>
          <w:ilvl w:val="0"/>
          <w:numId w:val="14"/>
        </w:numPr>
        <w:autoSpaceDE w:val="0"/>
        <w:autoSpaceDN w:val="0"/>
        <w:adjustRightInd w:val="0"/>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сектор государственных ценных бумаг.</w:t>
      </w:r>
    </w:p>
    <w:p w14:paraId="41930247" w14:textId="77777777" w:rsidR="000C1E0E" w:rsidRDefault="000C1E0E" w:rsidP="000C1E0E">
      <w:pPr>
        <w:autoSpaceDE w:val="0"/>
        <w:autoSpaceDN w:val="0"/>
        <w:adjustRightInd w:val="0"/>
        <w:spacing w:after="200" w:line="360" w:lineRule="auto"/>
        <w:ind w:left="426"/>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Кредитный спред по каждому аналогу рассчитывается в следующем порядке:</w:t>
      </w:r>
    </w:p>
    <w:p w14:paraId="3FCB4412" w14:textId="77777777" w:rsidR="000C1E0E" w:rsidRDefault="000C1E0E" w:rsidP="000C1E0E">
      <w:pPr>
        <w:autoSpaceDE w:val="0"/>
        <w:autoSpaceDN w:val="0"/>
        <w:adjustRightInd w:val="0"/>
        <w:spacing w:after="200" w:line="360" w:lineRule="auto"/>
        <w:ind w:left="426"/>
        <w:jc w:val="left"/>
        <w:rPr>
          <w:rFonts w:ascii="Times New Roman" w:eastAsiaTheme="minorHAnsi" w:hAnsi="Times New Roman"/>
          <w:sz w:val="24"/>
          <w:szCs w:val="24"/>
          <w:lang w:eastAsia="en-US"/>
        </w:rPr>
      </w:pPr>
    </w:p>
    <w:p w14:paraId="73FF3E0D" w14:textId="77777777" w:rsidR="000C1E0E" w:rsidRDefault="00C84628" w:rsidP="000C1E0E">
      <w:pPr>
        <w:autoSpaceDE w:val="0"/>
        <w:autoSpaceDN w:val="0"/>
        <w:adjustRightInd w:val="0"/>
        <w:spacing w:after="200" w:line="360" w:lineRule="auto"/>
        <w:ind w:left="426"/>
        <w:jc w:val="left"/>
        <w:rPr>
          <w:rFonts w:ascii="Times New Roman" w:eastAsiaTheme="minorEastAsia" w:hAnsi="Times New Roman"/>
          <w:i/>
          <w:sz w:val="24"/>
          <w:szCs w:val="24"/>
          <w:lang w:val="en-US" w:eastAsia="en-US"/>
        </w:rPr>
      </w:pPr>
      <m:oMathPara>
        <m:oMath>
          <m:sSub>
            <m:sSubPr>
              <m:ctrlPr>
                <w:rPr>
                  <w:rFonts w:ascii="Cambria Math" w:eastAsiaTheme="minorHAnsi" w:hAnsi="Cambria Math"/>
                  <w:i/>
                  <w:sz w:val="24"/>
                  <w:szCs w:val="24"/>
                  <w:lang w:eastAsia="en-US"/>
                </w:rPr>
              </m:ctrlPr>
            </m:sSubPr>
            <m:e>
              <m:r>
                <w:rPr>
                  <w:rFonts w:ascii="Cambria Math" w:eastAsiaTheme="minorHAnsi" w:hAnsi="Cambria Math"/>
                  <w:sz w:val="24"/>
                  <w:szCs w:val="24"/>
                  <w:lang w:eastAsia="en-US"/>
                </w:rPr>
                <m:t>CrSpread</m:t>
              </m:r>
            </m:e>
            <m:sub>
              <m:r>
                <w:rPr>
                  <w:rFonts w:ascii="Cambria Math" w:eastAsiaTheme="minorHAnsi" w:hAnsi="Cambria Math"/>
                  <w:sz w:val="24"/>
                  <w:szCs w:val="24"/>
                  <w:lang w:val="en-US" w:eastAsia="en-US"/>
                </w:rPr>
                <m:t>i</m:t>
              </m:r>
            </m:sub>
          </m:sSub>
          <m:r>
            <w:rPr>
              <w:rFonts w:ascii="Cambria Math" w:eastAsiaTheme="minorHAnsi" w:hAnsi="Times New Roman"/>
              <w:sz w:val="24"/>
              <w:szCs w:val="24"/>
              <w:lang w:eastAsia="en-US"/>
            </w:rPr>
            <m:t>=</m:t>
          </m:r>
          <m:sSub>
            <m:sSubPr>
              <m:ctrlPr>
                <w:rPr>
                  <w:rFonts w:ascii="Cambria Math" w:eastAsiaTheme="minorHAnsi" w:hAnsi="Cambria Math"/>
                  <w:i/>
                  <w:sz w:val="24"/>
                  <w:szCs w:val="24"/>
                  <w:lang w:eastAsia="en-US"/>
                </w:rPr>
              </m:ctrlPr>
            </m:sSubPr>
            <m:e>
              <m:r>
                <w:rPr>
                  <w:rFonts w:ascii="Cambria Math" w:eastAsiaTheme="minorHAnsi" w:hAnsi="Cambria Math"/>
                  <w:sz w:val="24"/>
                  <w:szCs w:val="24"/>
                  <w:lang w:eastAsia="en-US"/>
                </w:rPr>
                <m:t>YTM</m:t>
              </m:r>
            </m:e>
            <m:sub>
              <m:r>
                <w:rPr>
                  <w:rFonts w:ascii="Cambria Math" w:eastAsiaTheme="minorHAnsi" w:hAnsi="Cambria Math"/>
                  <w:sz w:val="24"/>
                  <w:szCs w:val="24"/>
                  <w:lang w:eastAsia="en-US"/>
                </w:rPr>
                <m:t>i</m:t>
              </m:r>
            </m:sub>
          </m:sSub>
          <m:r>
            <w:rPr>
              <w:rFonts w:ascii="Cambria Math" w:eastAsiaTheme="minorHAnsi" w:hAnsi="Cambria Math"/>
              <w:sz w:val="24"/>
              <w:szCs w:val="24"/>
              <w:lang w:eastAsia="en-US"/>
            </w:rPr>
            <m:t>-</m:t>
          </m:r>
          <m:sSub>
            <m:sSubPr>
              <m:ctrlPr>
                <w:rPr>
                  <w:rFonts w:ascii="Cambria Math" w:eastAsiaTheme="minorHAnsi" w:hAnsi="Cambria Math"/>
                  <w:i/>
                  <w:sz w:val="24"/>
                  <w:szCs w:val="24"/>
                  <w:lang w:eastAsia="en-US"/>
                </w:rPr>
              </m:ctrlPr>
            </m:sSubPr>
            <m:e>
              <m:r>
                <w:rPr>
                  <w:rFonts w:ascii="Cambria Math" w:eastAsiaTheme="minorHAnsi" w:hAnsi="Cambria Math"/>
                  <w:sz w:val="24"/>
                  <w:szCs w:val="24"/>
                  <w:lang w:eastAsia="en-US"/>
                </w:rPr>
                <m:t>r</m:t>
              </m:r>
            </m:e>
            <m:sub>
              <m:r>
                <w:rPr>
                  <w:rFonts w:ascii="Cambria Math" w:eastAsiaTheme="minorHAnsi" w:hAnsi="Cambria Math"/>
                  <w:sz w:val="24"/>
                  <w:szCs w:val="24"/>
                  <w:lang w:eastAsia="en-US"/>
                </w:rPr>
                <m:t>i</m:t>
              </m:r>
            </m:sub>
          </m:sSub>
        </m:oMath>
      </m:oMathPara>
    </w:p>
    <w:p w14:paraId="21FC7EEC" w14:textId="77777777" w:rsidR="000C1E0E" w:rsidRDefault="000C1E0E" w:rsidP="000C1E0E">
      <w:pPr>
        <w:autoSpaceDE w:val="0"/>
        <w:autoSpaceDN w:val="0"/>
        <w:adjustRightInd w:val="0"/>
        <w:spacing w:after="200" w:line="360" w:lineRule="auto"/>
        <w:ind w:left="426"/>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где,</w:t>
      </w:r>
    </w:p>
    <w:p w14:paraId="6E9DE37F" w14:textId="77777777" w:rsidR="000C1E0E" w:rsidRDefault="00C84628" w:rsidP="000C1E0E">
      <w:pPr>
        <w:autoSpaceDE w:val="0"/>
        <w:autoSpaceDN w:val="0"/>
        <w:adjustRightInd w:val="0"/>
        <w:spacing w:after="200" w:line="360" w:lineRule="auto"/>
        <w:ind w:left="426"/>
        <w:jc w:val="left"/>
        <w:rPr>
          <w:rFonts w:ascii="Times New Roman" w:eastAsiaTheme="minorHAnsi" w:hAnsi="Times New Roman"/>
          <w:sz w:val="24"/>
          <w:szCs w:val="24"/>
          <w:lang w:eastAsia="en-US"/>
        </w:rPr>
      </w:pP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YTM</m:t>
            </m:r>
          </m:e>
          <m:sub>
            <m:r>
              <w:rPr>
                <w:rFonts w:ascii="Cambria Math" w:eastAsiaTheme="minorHAnsi" w:hAnsi="Cambria Math"/>
                <w:sz w:val="24"/>
                <w:szCs w:val="24"/>
                <w:lang w:eastAsia="en-US"/>
              </w:rPr>
              <m:t>i</m:t>
            </m:r>
          </m:sub>
        </m:sSub>
      </m:oMath>
      <w:r w:rsidR="000C1E0E">
        <w:rPr>
          <w:rFonts w:ascii="Times New Roman" w:eastAsiaTheme="minorHAnsi" w:hAnsi="Times New Roman"/>
          <w:sz w:val="24"/>
          <w:szCs w:val="24"/>
          <w:lang w:eastAsia="en-US"/>
        </w:rPr>
        <w:t xml:space="preserve"> – доходность к погашению/оферте i-ого аналога по цене закрытия;</w:t>
      </w:r>
    </w:p>
    <w:p w14:paraId="3A2D6F15" w14:textId="77777777" w:rsidR="000C1E0E" w:rsidRDefault="00C84628" w:rsidP="000C1E0E">
      <w:pPr>
        <w:spacing w:after="200" w:line="360" w:lineRule="auto"/>
        <w:ind w:left="426"/>
        <w:rPr>
          <w:rFonts w:ascii="Times New Roman" w:eastAsiaTheme="minorHAnsi" w:hAnsi="Times New Roman"/>
          <w:sz w:val="24"/>
          <w:szCs w:val="24"/>
          <w:lang w:eastAsia="en-US"/>
        </w:rPr>
      </w:pP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r</m:t>
            </m:r>
          </m:e>
          <m:sub>
            <m:r>
              <w:rPr>
                <w:rFonts w:ascii="Cambria Math" w:eastAsiaTheme="minorHAnsi" w:hAnsi="Cambria Math"/>
                <w:sz w:val="24"/>
                <w:szCs w:val="24"/>
                <w:lang w:eastAsia="en-US"/>
              </w:rPr>
              <m:t>i</m:t>
            </m:r>
          </m:sub>
        </m:sSub>
      </m:oMath>
      <w:r w:rsidR="000C1E0E">
        <w:rPr>
          <w:rFonts w:ascii="Times New Roman" w:eastAsiaTheme="minorHAnsi" w:hAnsi="Times New Roman"/>
          <w:sz w:val="24"/>
          <w:szCs w:val="24"/>
          <w:lang w:eastAsia="en-US"/>
        </w:rPr>
        <w:t xml:space="preserve"> – ставка кривой бескупонной доходности казначейских облигаций США, соответствующая дате погашения/оферты i-ого аналога. Ставка кривой бескупонной доходности казначейских облигаций США определяется с помощью функции «GC I25» информационно- аналитического агентства Bloomberg;</w:t>
      </w:r>
    </w:p>
    <w:p w14:paraId="7C0B3A56" w14:textId="77777777" w:rsidR="000C1E0E" w:rsidRDefault="000C1E0E" w:rsidP="007255FA">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Медианный кредитный спред рассчитывается за последние 20 торговых дней на основании полученных кредитных спредов аналогов. При расчете значения медианного кредитного спреда промежуточные округления значений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CrSpread</m:t>
            </m:r>
          </m:e>
          <m:sub>
            <m:r>
              <w:rPr>
                <w:rFonts w:ascii="Cambria Math" w:eastAsiaTheme="minorHAnsi" w:hAnsi="Cambria Math"/>
                <w:sz w:val="24"/>
                <w:szCs w:val="24"/>
                <w:lang w:eastAsia="en-US"/>
              </w:rPr>
              <m:t>i</m:t>
            </m:r>
          </m:sub>
        </m:sSub>
      </m:oMath>
      <w:r>
        <w:rPr>
          <w:rFonts w:ascii="Times New Roman" w:eastAsiaTheme="minorHAnsi" w:hAnsi="Times New Roman"/>
          <w:sz w:val="24"/>
          <w:szCs w:val="24"/>
          <w:lang w:eastAsia="en-US"/>
        </w:rPr>
        <w:t xml:space="preserve"> не производятся, результат расчета округляется по правилам математического округления с точностью до 2 знаков после запятой.</w:t>
      </w:r>
    </w:p>
    <w:p w14:paraId="55CA00E8" w14:textId="77777777" w:rsidR="000C1E0E" w:rsidRDefault="000C1E0E" w:rsidP="007255FA">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Для еврооблигаций, номинированных в рублях, используется без изменений модель для оценки стоимости российских облигаций на 3 уровне. </w:t>
      </w:r>
    </w:p>
    <w:p w14:paraId="0DBEB6A8" w14:textId="180D9C5A" w:rsidR="000C1E0E" w:rsidRDefault="000C1E0E" w:rsidP="007255FA">
      <w:pPr>
        <w:spacing w:line="240" w:lineRule="auto"/>
        <w:jc w:val="right"/>
        <w:rPr>
          <w:rFonts w:ascii="Times New Roman" w:eastAsia="Calibri" w:hAnsi="Times New Roman"/>
          <w:sz w:val="24"/>
          <w:szCs w:val="24"/>
        </w:rPr>
      </w:pPr>
      <w:r>
        <w:rPr>
          <w:rFonts w:ascii="Times New Roman" w:eastAsiaTheme="minorHAnsi" w:hAnsi="Times New Roman"/>
          <w:sz w:val="24"/>
          <w:szCs w:val="24"/>
          <w:lang w:eastAsia="en-US"/>
        </w:rPr>
        <w:br w:type="page"/>
      </w:r>
      <w:r>
        <w:rPr>
          <w:rFonts w:ascii="Times New Roman" w:eastAsia="Calibri" w:hAnsi="Times New Roman"/>
          <w:sz w:val="24"/>
          <w:szCs w:val="24"/>
        </w:rPr>
        <w:t xml:space="preserve">Приложение №2 </w:t>
      </w:r>
    </w:p>
    <w:p w14:paraId="687205D9" w14:textId="77777777" w:rsidR="000C1E0E" w:rsidRDefault="000C1E0E" w:rsidP="000C1E0E">
      <w:pPr>
        <w:tabs>
          <w:tab w:val="left" w:pos="3069"/>
        </w:tabs>
        <w:jc w:val="right"/>
        <w:rPr>
          <w:rFonts w:ascii="Times New Roman" w:eastAsia="Calibri" w:hAnsi="Times New Roman"/>
          <w:sz w:val="24"/>
          <w:szCs w:val="24"/>
        </w:rPr>
      </w:pPr>
      <w:r>
        <w:rPr>
          <w:rFonts w:ascii="Times New Roman" w:eastAsia="Calibri" w:hAnsi="Times New Roman"/>
          <w:sz w:val="24"/>
          <w:szCs w:val="24"/>
        </w:rPr>
        <w:t>к Правилам</w:t>
      </w:r>
      <w:r>
        <w:rPr>
          <w:rFonts w:ascii="Times New Roman" w:hAnsi="Times New Roman"/>
          <w:sz w:val="24"/>
          <w:szCs w:val="24"/>
        </w:rPr>
        <w:t xml:space="preserve"> определения СЧА</w:t>
      </w:r>
    </w:p>
    <w:p w14:paraId="79574639" w14:textId="77777777" w:rsidR="000C1E0E" w:rsidRDefault="000C1E0E" w:rsidP="000C1E0E">
      <w:pPr>
        <w:tabs>
          <w:tab w:val="num" w:pos="0"/>
        </w:tabs>
        <w:spacing w:line="240" w:lineRule="auto"/>
        <w:ind w:left="720"/>
        <w:rPr>
          <w:rFonts w:ascii="Times New Roman" w:hAnsi="Times New Roman"/>
          <w:sz w:val="24"/>
          <w:szCs w:val="24"/>
        </w:rPr>
      </w:pPr>
    </w:p>
    <w:p w14:paraId="0F997817" w14:textId="77777777" w:rsidR="000C1E0E" w:rsidRDefault="000C1E0E" w:rsidP="000C1E0E">
      <w:pPr>
        <w:spacing w:before="120"/>
        <w:ind w:firstLine="426"/>
        <w:rPr>
          <w:rFonts w:ascii="Times New Roman" w:hAnsi="Times New Roman"/>
          <w:b/>
          <w:sz w:val="24"/>
          <w:szCs w:val="24"/>
        </w:rPr>
      </w:pPr>
    </w:p>
    <w:p w14:paraId="0DA0B6DE" w14:textId="77777777" w:rsidR="000C1E0E" w:rsidRDefault="000C1E0E" w:rsidP="000C1E0E">
      <w:pPr>
        <w:tabs>
          <w:tab w:val="left" w:pos="3069"/>
        </w:tabs>
        <w:spacing w:after="160" w:line="254" w:lineRule="auto"/>
        <w:jc w:val="center"/>
        <w:rPr>
          <w:rFonts w:ascii="Times New Roman" w:hAnsi="Times New Roman"/>
          <w:b/>
          <w:bCs/>
          <w:iCs/>
          <w:szCs w:val="28"/>
        </w:rPr>
      </w:pPr>
      <w:r>
        <w:rPr>
          <w:rFonts w:ascii="Times New Roman" w:hAnsi="Times New Roman"/>
          <w:b/>
          <w:sz w:val="24"/>
          <w:szCs w:val="24"/>
        </w:rPr>
        <w:t>МЕТОДИКА ОЦЕНКИ КРЕДИТНОГО РИСКА</w:t>
      </w:r>
    </w:p>
    <w:p w14:paraId="69941213" w14:textId="77777777" w:rsidR="000C1E0E" w:rsidRDefault="000C1E0E" w:rsidP="000C1E0E">
      <w:pPr>
        <w:tabs>
          <w:tab w:val="left" w:pos="3069"/>
        </w:tabs>
        <w:spacing w:after="160" w:line="254" w:lineRule="auto"/>
        <w:jc w:val="center"/>
        <w:rPr>
          <w:b/>
          <w:szCs w:val="24"/>
        </w:rPr>
      </w:pPr>
    </w:p>
    <w:p w14:paraId="70866247" w14:textId="77777777" w:rsidR="000C1E0E" w:rsidRDefault="000C1E0E" w:rsidP="000C1E0E">
      <w:pPr>
        <w:keepLines/>
        <w:numPr>
          <w:ilvl w:val="0"/>
          <w:numId w:val="2"/>
        </w:numPr>
        <w:spacing w:line="360" w:lineRule="auto"/>
        <w:ind w:left="0" w:firstLine="0"/>
        <w:jc w:val="left"/>
        <w:rPr>
          <w:b/>
          <w:sz w:val="24"/>
          <w:szCs w:val="24"/>
        </w:rPr>
      </w:pPr>
      <w:r>
        <w:rPr>
          <w:b/>
          <w:sz w:val="24"/>
          <w:szCs w:val="24"/>
        </w:rPr>
        <w:t>Цели и определения</w:t>
      </w:r>
    </w:p>
    <w:p w14:paraId="6E7535E7" w14:textId="77777777" w:rsidR="000C1E0E" w:rsidRDefault="000C1E0E" w:rsidP="000C1E0E">
      <w:pPr>
        <w:autoSpaceDE w:val="0"/>
        <w:autoSpaceDN w:val="0"/>
        <w:spacing w:line="360" w:lineRule="auto"/>
        <w:ind w:firstLine="567"/>
        <w:rPr>
          <w:sz w:val="24"/>
          <w:szCs w:val="24"/>
        </w:rPr>
      </w:pPr>
      <w:r>
        <w:rPr>
          <w:sz w:val="24"/>
          <w:szCs w:val="24"/>
        </w:rPr>
        <w:t>Настоящая методика служит для оценки Кредитного риска контрагента, в том числе при размещении денежных средств в депозиты и на счета с условием неснижаемого остатка в кредитных организациях.</w:t>
      </w:r>
    </w:p>
    <w:p w14:paraId="21A1BF5A" w14:textId="77777777" w:rsidR="000C1E0E" w:rsidRDefault="000C1E0E" w:rsidP="000C1E0E">
      <w:pPr>
        <w:autoSpaceDE w:val="0"/>
        <w:autoSpaceDN w:val="0"/>
        <w:spacing w:line="360" w:lineRule="auto"/>
        <w:ind w:firstLine="567"/>
        <w:rPr>
          <w:sz w:val="24"/>
          <w:szCs w:val="24"/>
        </w:rPr>
      </w:pPr>
      <w:r>
        <w:rPr>
          <w:sz w:val="24"/>
          <w:szCs w:val="24"/>
        </w:rPr>
        <w:t>При возникновении события, ведущего к обесценению, справедливая стоимость денежных средств на счетах и во вкладах, справедливая стоимость дебиторской задолженности, в том числе по вкладам (займам), определяется в соответствии с методом корректировки справедливой стоимости на основании Метода 1 или Метода 2, в зависимости от срока погашения актива.</w:t>
      </w:r>
    </w:p>
    <w:p w14:paraId="5536B0D7" w14:textId="70B7997C" w:rsidR="000C1E0E" w:rsidRDefault="000C1E0E" w:rsidP="000C1E0E">
      <w:pPr>
        <w:autoSpaceDE w:val="0"/>
        <w:autoSpaceDN w:val="0"/>
        <w:spacing w:line="360" w:lineRule="auto"/>
        <w:ind w:firstLine="567"/>
        <w:rPr>
          <w:sz w:val="24"/>
          <w:szCs w:val="24"/>
        </w:rPr>
      </w:pPr>
      <w:r>
        <w:rPr>
          <w:sz w:val="24"/>
          <w:szCs w:val="24"/>
        </w:rPr>
        <w:t xml:space="preserve">Если на момент выявления события, </w:t>
      </w:r>
      <w:r>
        <w:rPr>
          <w:bCs/>
          <w:iCs/>
          <w:sz w:val="24"/>
          <w:szCs w:val="24"/>
        </w:rPr>
        <w:t>существенно увеличивающим кредитный риск владения финансовым активом</w:t>
      </w:r>
      <w:r>
        <w:rPr>
          <w:sz w:val="24"/>
          <w:szCs w:val="24"/>
        </w:rPr>
        <w:t>, у актива имеется обеспечение, на весь или больший размер, чем размер справедливой стоимости актива (в виде залога, поручительства, гарантии, обязательства третьих лиц, опционных соглашений и т.п.), то в этом случае корректировка справедливой стоимости обеспеченного актива не происходит.</w:t>
      </w:r>
    </w:p>
    <w:p w14:paraId="2E2B1D72" w14:textId="77777777" w:rsidR="000C1E0E" w:rsidRDefault="000C1E0E" w:rsidP="000C1E0E">
      <w:pPr>
        <w:autoSpaceDE w:val="0"/>
        <w:autoSpaceDN w:val="0"/>
        <w:spacing w:line="360" w:lineRule="auto"/>
        <w:ind w:firstLine="567"/>
        <w:rPr>
          <w:sz w:val="24"/>
          <w:szCs w:val="24"/>
        </w:rPr>
      </w:pPr>
      <w:r>
        <w:rPr>
          <w:i/>
          <w:sz w:val="24"/>
          <w:szCs w:val="24"/>
        </w:rPr>
        <w:t>Кредитный риск</w:t>
      </w:r>
      <w:r>
        <w:rPr>
          <w:sz w:val="24"/>
          <w:szCs w:val="24"/>
        </w:rPr>
        <w:t xml:space="preserve"> – риск возникновения убытка вследствие неисполнения контрагентом обязательств по </w:t>
      </w:r>
      <w:r>
        <w:rPr>
          <w:bCs/>
          <w:iCs/>
          <w:sz w:val="24"/>
          <w:szCs w:val="24"/>
        </w:rPr>
        <w:t>договору</w:t>
      </w:r>
      <w:r>
        <w:rPr>
          <w:sz w:val="24"/>
          <w:szCs w:val="24"/>
        </w:rPr>
        <w:t>, а также неоплаты контрагентом основного долга и/или процентов, причитающихся в установленный договором срок.</w:t>
      </w:r>
    </w:p>
    <w:p w14:paraId="47156320" w14:textId="77777777" w:rsidR="000C1E0E" w:rsidRDefault="000C1E0E" w:rsidP="000C1E0E">
      <w:pPr>
        <w:autoSpaceDE w:val="0"/>
        <w:autoSpaceDN w:val="0"/>
        <w:spacing w:line="360" w:lineRule="auto"/>
        <w:ind w:firstLine="567"/>
        <w:rPr>
          <w:sz w:val="24"/>
          <w:szCs w:val="24"/>
        </w:rPr>
      </w:pPr>
      <w:r>
        <w:rPr>
          <w:bCs/>
          <w:i/>
          <w:iCs/>
          <w:sz w:val="24"/>
          <w:szCs w:val="24"/>
        </w:rPr>
        <w:t xml:space="preserve">Кредитный рейтинг – </w:t>
      </w:r>
      <w:r>
        <w:rPr>
          <w:sz w:val="24"/>
          <w:szCs w:val="24"/>
        </w:rPr>
        <w:t>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В целях применения настоящей методики используются рейтинги следующих рейтинговых агентств:</w:t>
      </w:r>
    </w:p>
    <w:p w14:paraId="1A888BC2" w14:textId="77777777" w:rsidR="000C1E0E" w:rsidRDefault="000C1E0E" w:rsidP="000C1E0E">
      <w:pPr>
        <w:pStyle w:val="afc"/>
        <w:numPr>
          <w:ilvl w:val="0"/>
          <w:numId w:val="16"/>
        </w:numPr>
        <w:autoSpaceDE w:val="0"/>
        <w:autoSpaceDN w:val="0"/>
        <w:spacing w:after="0" w:line="360" w:lineRule="auto"/>
        <w:jc w:val="both"/>
        <w:rPr>
          <w:rFonts w:ascii="Times New Roman" w:hAnsi="Times New Roman"/>
          <w:sz w:val="24"/>
          <w:szCs w:val="24"/>
        </w:rPr>
      </w:pPr>
      <w:r>
        <w:rPr>
          <w:rFonts w:ascii="Times New Roman" w:hAnsi="Times New Roman"/>
          <w:sz w:val="24"/>
          <w:szCs w:val="24"/>
        </w:rPr>
        <w:t>Moody's Investors Service</w:t>
      </w:r>
    </w:p>
    <w:p w14:paraId="03664FBF" w14:textId="77777777" w:rsidR="000C1E0E" w:rsidRDefault="000C1E0E" w:rsidP="000C1E0E">
      <w:pPr>
        <w:pStyle w:val="afc"/>
        <w:numPr>
          <w:ilvl w:val="0"/>
          <w:numId w:val="16"/>
        </w:numPr>
        <w:autoSpaceDE w:val="0"/>
        <w:autoSpaceDN w:val="0"/>
        <w:spacing w:after="0" w:line="360" w:lineRule="auto"/>
        <w:jc w:val="both"/>
        <w:rPr>
          <w:rFonts w:ascii="Times New Roman" w:hAnsi="Times New Roman"/>
          <w:sz w:val="24"/>
          <w:szCs w:val="24"/>
        </w:rPr>
      </w:pPr>
      <w:r>
        <w:rPr>
          <w:rFonts w:ascii="Times New Roman" w:hAnsi="Times New Roman"/>
          <w:sz w:val="24"/>
          <w:szCs w:val="24"/>
        </w:rPr>
        <w:t>Standard &amp; Poor's</w:t>
      </w:r>
    </w:p>
    <w:p w14:paraId="070E03B1" w14:textId="77777777" w:rsidR="000C1E0E" w:rsidRDefault="000C1E0E" w:rsidP="000C1E0E">
      <w:pPr>
        <w:pStyle w:val="afc"/>
        <w:numPr>
          <w:ilvl w:val="0"/>
          <w:numId w:val="16"/>
        </w:numPr>
        <w:autoSpaceDE w:val="0"/>
        <w:autoSpaceDN w:val="0"/>
        <w:spacing w:after="0" w:line="360" w:lineRule="auto"/>
        <w:jc w:val="both"/>
        <w:rPr>
          <w:rFonts w:ascii="Times New Roman" w:hAnsi="Times New Roman"/>
          <w:sz w:val="24"/>
          <w:szCs w:val="24"/>
        </w:rPr>
      </w:pPr>
      <w:r>
        <w:rPr>
          <w:rFonts w:ascii="Times New Roman" w:hAnsi="Times New Roman"/>
          <w:sz w:val="24"/>
          <w:szCs w:val="24"/>
        </w:rPr>
        <w:t>Fitch Ratings</w:t>
      </w:r>
    </w:p>
    <w:p w14:paraId="3FB064B5" w14:textId="77777777" w:rsidR="000C1E0E" w:rsidRDefault="000C1E0E" w:rsidP="000C1E0E">
      <w:pPr>
        <w:pStyle w:val="afc"/>
        <w:numPr>
          <w:ilvl w:val="0"/>
          <w:numId w:val="16"/>
        </w:numPr>
        <w:autoSpaceDE w:val="0"/>
        <w:autoSpaceDN w:val="0"/>
        <w:spacing w:after="0" w:line="360" w:lineRule="auto"/>
        <w:jc w:val="both"/>
        <w:rPr>
          <w:rFonts w:ascii="Times New Roman" w:hAnsi="Times New Roman"/>
          <w:sz w:val="24"/>
          <w:szCs w:val="24"/>
        </w:rPr>
      </w:pPr>
      <w:r>
        <w:rPr>
          <w:rFonts w:ascii="Times New Roman" w:hAnsi="Times New Roman"/>
          <w:sz w:val="24"/>
          <w:szCs w:val="24"/>
        </w:rPr>
        <w:t>Аналитическое Кредитное Рейтинговое Агентство (АКРА)</w:t>
      </w:r>
    </w:p>
    <w:p w14:paraId="6D145190" w14:textId="77777777" w:rsidR="000C1E0E" w:rsidRDefault="000C1E0E" w:rsidP="000C1E0E">
      <w:pPr>
        <w:pStyle w:val="afc"/>
        <w:numPr>
          <w:ilvl w:val="0"/>
          <w:numId w:val="16"/>
        </w:numPr>
        <w:autoSpaceDE w:val="0"/>
        <w:autoSpaceDN w:val="0"/>
        <w:spacing w:after="0" w:line="360" w:lineRule="auto"/>
        <w:jc w:val="both"/>
        <w:rPr>
          <w:rFonts w:ascii="Times New Roman" w:hAnsi="Times New Roman"/>
          <w:sz w:val="24"/>
          <w:szCs w:val="24"/>
        </w:rPr>
      </w:pPr>
      <w:r>
        <w:rPr>
          <w:rFonts w:ascii="Times New Roman" w:hAnsi="Times New Roman"/>
          <w:sz w:val="24"/>
          <w:szCs w:val="24"/>
        </w:rPr>
        <w:t>Рейтинговое агентство RAEX («Эксперт РА»).</w:t>
      </w:r>
    </w:p>
    <w:p w14:paraId="3F89EB09" w14:textId="77777777" w:rsidR="000C1E0E" w:rsidRDefault="000C1E0E" w:rsidP="000C1E0E">
      <w:pPr>
        <w:spacing w:line="360" w:lineRule="auto"/>
        <w:ind w:firstLine="567"/>
        <w:rPr>
          <w:sz w:val="24"/>
          <w:szCs w:val="24"/>
        </w:rPr>
      </w:pPr>
    </w:p>
    <w:p w14:paraId="290A9D80" w14:textId="77777777" w:rsidR="000C1E0E" w:rsidRDefault="000C1E0E" w:rsidP="000C1E0E">
      <w:pPr>
        <w:spacing w:line="360" w:lineRule="auto"/>
        <w:ind w:firstLine="567"/>
        <w:rPr>
          <w:szCs w:val="24"/>
        </w:rPr>
      </w:pPr>
      <w:r>
        <w:rPr>
          <w:b/>
          <w:sz w:val="24"/>
          <w:szCs w:val="24"/>
        </w:rPr>
        <w:t>Метод 1.</w:t>
      </w:r>
      <w:r>
        <w:rPr>
          <w:szCs w:val="24"/>
        </w:rPr>
        <w:t xml:space="preserve"> </w:t>
      </w:r>
    </w:p>
    <w:p w14:paraId="1748FA30" w14:textId="77777777" w:rsidR="000C1E0E" w:rsidRDefault="000C1E0E" w:rsidP="000C1E0E">
      <w:pPr>
        <w:spacing w:line="360" w:lineRule="auto"/>
        <w:ind w:firstLine="567"/>
        <w:rPr>
          <w:rFonts w:eastAsia="Batang"/>
          <w:sz w:val="24"/>
          <w:szCs w:val="24"/>
        </w:rPr>
      </w:pPr>
      <w:r>
        <w:rPr>
          <w:rFonts w:eastAsia="Batang"/>
          <w:b/>
          <w:sz w:val="24"/>
          <w:szCs w:val="24"/>
        </w:rPr>
        <w:t>Справедливая стоимость актива до погашения которого осталось больше 1 года (за исключением фактической просрочки),</w:t>
      </w:r>
      <w:r>
        <w:rPr>
          <w:rFonts w:eastAsia="Batang"/>
          <w:sz w:val="24"/>
          <w:szCs w:val="24"/>
        </w:rPr>
        <w:t xml:space="preserve"> определяется по методу приведенной стоимости будущих денежных потоков, учитывая кредитные риски</w:t>
      </w:r>
      <w:r>
        <w:rPr>
          <w:szCs w:val="24"/>
        </w:rPr>
        <w:t xml:space="preserve"> </w:t>
      </w:r>
      <w:r>
        <w:rPr>
          <w:rFonts w:eastAsia="Batang"/>
          <w:sz w:val="24"/>
          <w:szCs w:val="24"/>
        </w:rPr>
        <w:t>через корректировку ставки дисконтирования:</w:t>
      </w:r>
    </w:p>
    <w:p w14:paraId="65B2D03D" w14:textId="77777777" w:rsidR="000C1E0E" w:rsidRDefault="000C1E0E" w:rsidP="000C1E0E">
      <w:pPr>
        <w:spacing w:line="360" w:lineRule="auto"/>
        <w:ind w:firstLine="567"/>
        <w:rPr>
          <w:rFonts w:eastAsia="Batang"/>
          <w:sz w:val="24"/>
          <w:szCs w:val="24"/>
        </w:rPr>
      </w:pPr>
    </w:p>
    <w:p w14:paraId="17EB94F8" w14:textId="77777777" w:rsidR="000C1E0E" w:rsidRDefault="00C84628" w:rsidP="000C1E0E">
      <w:pPr>
        <w:spacing w:line="360" w:lineRule="auto"/>
        <w:ind w:firstLine="567"/>
        <w:rPr>
          <w:i/>
          <w:szCs w:val="24"/>
          <w:lang w:val="en-US"/>
        </w:rPr>
      </w:pPr>
      <m:oMathPara>
        <m:oMath>
          <m:sSub>
            <m:sSubPr>
              <m:ctrlPr>
                <w:rPr>
                  <w:rFonts w:ascii="Cambria Math" w:eastAsia="Batang" w:hAnsi="Cambria Math"/>
                  <w:i/>
                  <w:szCs w:val="24"/>
                </w:rPr>
              </m:ctrlPr>
            </m:sSubPr>
            <m:e>
              <m:r>
                <w:rPr>
                  <w:rFonts w:ascii="Cambria Math" w:eastAsia="Batang" w:hAnsi="Cambria Math"/>
                  <w:szCs w:val="24"/>
                </w:rPr>
                <m:t>PV</m:t>
              </m:r>
            </m:e>
            <m:sub>
              <m:r>
                <w:rPr>
                  <w:rFonts w:ascii="Cambria Math" w:eastAsia="Batang" w:hAnsi="Cambria Math"/>
                  <w:szCs w:val="24"/>
                </w:rPr>
                <m:t>dev</m:t>
              </m:r>
            </m:sub>
          </m:sSub>
          <m:r>
            <w:rPr>
              <w:rFonts w:ascii="Cambria Math" w:eastAsia="Batang" w:hAnsi="Cambria Math"/>
              <w:szCs w:val="24"/>
            </w:rPr>
            <m:t>=</m:t>
          </m:r>
          <m:nary>
            <m:naryPr>
              <m:chr m:val="∑"/>
              <m:limLoc m:val="undOvr"/>
              <m:ctrlPr>
                <w:rPr>
                  <w:rFonts w:ascii="Cambria Math" w:eastAsia="Batang" w:hAnsi="Cambria Math"/>
                  <w:i/>
                  <w:szCs w:val="24"/>
                </w:rPr>
              </m:ctrlPr>
            </m:naryPr>
            <m:sub>
              <m:r>
                <w:rPr>
                  <w:rFonts w:ascii="Cambria Math" w:eastAsia="Batang" w:hAnsi="Cambria Math"/>
                  <w:szCs w:val="24"/>
                </w:rPr>
                <m:t>n=1</m:t>
              </m:r>
            </m:sub>
            <m:sup>
              <m:r>
                <w:rPr>
                  <w:rFonts w:ascii="Cambria Math" w:eastAsia="Batang" w:hAnsi="Cambria Math"/>
                  <w:szCs w:val="24"/>
                </w:rPr>
                <m:t>N</m:t>
              </m:r>
            </m:sup>
            <m:e>
              <m:f>
                <m:fPr>
                  <m:ctrlPr>
                    <w:rPr>
                      <w:rFonts w:ascii="Cambria Math" w:eastAsia="Batang" w:hAnsi="Cambria Math"/>
                      <w:i/>
                      <w:szCs w:val="24"/>
                    </w:rPr>
                  </m:ctrlPr>
                </m:fPr>
                <m:num>
                  <m:sSub>
                    <m:sSubPr>
                      <m:ctrlPr>
                        <w:rPr>
                          <w:rFonts w:ascii="Cambria Math" w:eastAsia="Batang" w:hAnsi="Cambria Math"/>
                          <w:i/>
                          <w:szCs w:val="24"/>
                        </w:rPr>
                      </m:ctrlPr>
                    </m:sSubPr>
                    <m:e>
                      <m:r>
                        <w:rPr>
                          <w:rFonts w:ascii="Cambria Math" w:eastAsia="Batang" w:hAnsi="Cambria Math"/>
                          <w:szCs w:val="24"/>
                        </w:rPr>
                        <m:t>P</m:t>
                      </m:r>
                    </m:e>
                    <m:sub>
                      <m:r>
                        <w:rPr>
                          <w:rFonts w:ascii="Cambria Math" w:eastAsia="Batang" w:hAnsi="Cambria Math"/>
                          <w:szCs w:val="24"/>
                        </w:rPr>
                        <m:t>n</m:t>
                      </m:r>
                    </m:sub>
                  </m:sSub>
                </m:num>
                <m:den>
                  <m:sSup>
                    <m:sSupPr>
                      <m:ctrlPr>
                        <w:rPr>
                          <w:rFonts w:ascii="Cambria Math" w:eastAsia="Batang" w:hAnsi="Cambria Math"/>
                          <w:i/>
                          <w:szCs w:val="24"/>
                        </w:rPr>
                      </m:ctrlPr>
                    </m:sSupPr>
                    <m:e>
                      <m:r>
                        <w:rPr>
                          <w:rFonts w:ascii="Cambria Math" w:eastAsia="Batang" w:hAnsi="Cambria Math"/>
                          <w:szCs w:val="24"/>
                        </w:rPr>
                        <m:t>(1+</m:t>
                      </m:r>
                      <m:sSub>
                        <m:sSubPr>
                          <m:ctrlPr>
                            <w:rPr>
                              <w:rFonts w:ascii="Cambria Math" w:eastAsia="Batang" w:hAnsi="Cambria Math"/>
                              <w:i/>
                              <w:szCs w:val="24"/>
                            </w:rPr>
                          </m:ctrlPr>
                        </m:sSubPr>
                        <m:e>
                          <m:r>
                            <w:rPr>
                              <w:rFonts w:ascii="Cambria Math" w:eastAsia="Batang" w:hAnsi="Cambria Math"/>
                              <w:szCs w:val="24"/>
                            </w:rPr>
                            <m:t>r</m:t>
                          </m:r>
                        </m:e>
                        <m:sub/>
                      </m:sSub>
                      <m:r>
                        <w:rPr>
                          <w:rFonts w:ascii="Cambria Math" w:eastAsia="Batang" w:hAnsi="Cambria Math"/>
                          <w:szCs w:val="24"/>
                        </w:rPr>
                        <m:t>+</m:t>
                      </m:r>
                      <m:r>
                        <w:rPr>
                          <w:rFonts w:ascii="Cambria Math" w:eastAsia="Batang" w:hAnsi="Cambria Math"/>
                          <w:szCs w:val="24"/>
                          <w:lang w:val="en-US"/>
                        </w:rPr>
                        <m:t>PD*LGD</m:t>
                      </m:r>
                      <m:r>
                        <w:rPr>
                          <w:rFonts w:ascii="Cambria Math" w:eastAsia="Batang" w:hAnsi="Cambria Math"/>
                          <w:szCs w:val="24"/>
                        </w:rPr>
                        <m:t>)</m:t>
                      </m:r>
                    </m:e>
                    <m:sup>
                      <m:f>
                        <m:fPr>
                          <m:type m:val="lin"/>
                          <m:ctrlPr>
                            <w:rPr>
                              <w:rFonts w:ascii="Cambria Math" w:eastAsia="Batang" w:hAnsi="Cambria Math"/>
                              <w:i/>
                              <w:szCs w:val="24"/>
                            </w:rPr>
                          </m:ctrlPr>
                        </m:fPr>
                        <m:num>
                          <m:sSub>
                            <m:sSubPr>
                              <m:ctrlPr>
                                <w:rPr>
                                  <w:rFonts w:ascii="Cambria Math" w:eastAsia="Batang" w:hAnsi="Cambria Math"/>
                                  <w:i/>
                                  <w:szCs w:val="24"/>
                                </w:rPr>
                              </m:ctrlPr>
                            </m:sSubPr>
                            <m:e>
                              <m:r>
                                <w:rPr>
                                  <w:rFonts w:ascii="Cambria Math" w:eastAsia="Batang" w:hAnsi="Cambria Math"/>
                                  <w:szCs w:val="24"/>
                                </w:rPr>
                                <m:t>D</m:t>
                              </m:r>
                            </m:e>
                            <m:sub>
                              <m:r>
                                <w:rPr>
                                  <w:rFonts w:ascii="Cambria Math" w:eastAsia="Batang" w:hAnsi="Cambria Math"/>
                                  <w:szCs w:val="24"/>
                                </w:rPr>
                                <m:t>n</m:t>
                              </m:r>
                            </m:sub>
                          </m:sSub>
                        </m:num>
                        <m:den>
                          <m:r>
                            <w:rPr>
                              <w:rFonts w:ascii="Cambria Math" w:eastAsia="Batang" w:hAnsi="Cambria Math"/>
                              <w:szCs w:val="24"/>
                            </w:rPr>
                            <m:t>365</m:t>
                          </m:r>
                        </m:den>
                      </m:f>
                    </m:sup>
                  </m:sSup>
                </m:den>
              </m:f>
              <m:r>
                <w:rPr>
                  <w:rFonts w:ascii="Cambria Math" w:eastAsia="Batang" w:hAnsi="Cambria Math"/>
                  <w:szCs w:val="24"/>
                </w:rPr>
                <m:t xml:space="preserve">          </m:t>
              </m:r>
            </m:e>
          </m:nary>
        </m:oMath>
      </m:oMathPara>
    </w:p>
    <w:p w14:paraId="43BEBBA5" w14:textId="77777777" w:rsidR="000C1E0E" w:rsidRDefault="000C1E0E" w:rsidP="000C1E0E">
      <w:pPr>
        <w:spacing w:line="360" w:lineRule="auto"/>
        <w:rPr>
          <w:i/>
          <w:szCs w:val="24"/>
        </w:rPr>
      </w:pPr>
      <w:r>
        <w:rPr>
          <w:i/>
          <w:szCs w:val="24"/>
        </w:rPr>
        <w:t>где</w:t>
      </w:r>
    </w:p>
    <w:p w14:paraId="073182B6" w14:textId="77777777" w:rsidR="000C1E0E" w:rsidRDefault="00C84628" w:rsidP="000C1E0E">
      <w:pPr>
        <w:pStyle w:val="12"/>
        <w:tabs>
          <w:tab w:val="left" w:pos="993"/>
        </w:tabs>
        <w:spacing w:before="120" w:line="276" w:lineRule="auto"/>
        <w:ind w:left="0"/>
        <w:jc w:val="both"/>
        <w:rPr>
          <w:rFonts w:eastAsia="Batang"/>
          <w:szCs w:val="24"/>
        </w:rPr>
      </w:pPr>
      <m:oMath>
        <m:sSub>
          <m:sSubPr>
            <m:ctrlPr>
              <w:rPr>
                <w:rFonts w:ascii="Cambria Math" w:eastAsia="Batang" w:hAnsi="Cambria Math"/>
                <w:i/>
                <w:szCs w:val="24"/>
              </w:rPr>
            </m:ctrlPr>
          </m:sSubPr>
          <m:e>
            <m:r>
              <w:rPr>
                <w:rFonts w:ascii="Cambria Math" w:eastAsia="Batang" w:hAnsi="Cambria Math"/>
                <w:szCs w:val="24"/>
              </w:rPr>
              <m:t>PV</m:t>
            </m:r>
          </m:e>
          <m:sub>
            <m:r>
              <w:rPr>
                <w:rFonts w:ascii="Cambria Math" w:eastAsia="Batang" w:hAnsi="Cambria Math"/>
                <w:szCs w:val="24"/>
              </w:rPr>
              <m:t>dev</m:t>
            </m:r>
          </m:sub>
        </m:sSub>
        <m:r>
          <w:rPr>
            <w:rFonts w:ascii="Cambria Math" w:eastAsia="Batang" w:hAnsi="Cambria Math"/>
            <w:szCs w:val="24"/>
          </w:rPr>
          <m:t xml:space="preserve"> </m:t>
        </m:r>
      </m:oMath>
      <w:r w:rsidR="000C1E0E">
        <w:rPr>
          <w:rFonts w:eastAsia="Batang"/>
          <w:szCs w:val="24"/>
        </w:rPr>
        <w:t>– справедливая стоимость обесцененного актива;</w:t>
      </w:r>
    </w:p>
    <w:p w14:paraId="11702476" w14:textId="77777777" w:rsidR="000C1E0E" w:rsidRDefault="000C1E0E" w:rsidP="000C1E0E">
      <w:pPr>
        <w:pStyle w:val="12"/>
        <w:tabs>
          <w:tab w:val="left" w:pos="993"/>
        </w:tabs>
        <w:spacing w:before="120" w:line="276" w:lineRule="auto"/>
        <w:ind w:left="0"/>
        <w:jc w:val="both"/>
        <w:rPr>
          <w:rFonts w:eastAsia="Batang"/>
          <w:szCs w:val="24"/>
        </w:rPr>
      </w:pPr>
      <w:r>
        <w:rPr>
          <w:rFonts w:eastAsia="Batang"/>
          <w:szCs w:val="24"/>
        </w:rPr>
        <w:t>N - количество денежных потоков до даты погашения актива, начиная с даты определения СЧА;</w:t>
      </w:r>
    </w:p>
    <w:p w14:paraId="16337A04" w14:textId="77777777" w:rsidR="000C1E0E" w:rsidRDefault="00C84628" w:rsidP="000C1E0E">
      <w:pPr>
        <w:pStyle w:val="12"/>
        <w:tabs>
          <w:tab w:val="left" w:pos="993"/>
        </w:tabs>
        <w:spacing w:before="120" w:line="276" w:lineRule="auto"/>
        <w:ind w:left="0"/>
        <w:jc w:val="both"/>
        <w:rPr>
          <w:rFonts w:eastAsia="Batang"/>
          <w:szCs w:val="24"/>
        </w:rPr>
      </w:pPr>
      <m:oMath>
        <m:sSub>
          <m:sSubPr>
            <m:ctrlPr>
              <w:rPr>
                <w:rFonts w:ascii="Cambria Math" w:eastAsia="Batang" w:hAnsi="Cambria Math"/>
                <w:i/>
                <w:szCs w:val="24"/>
              </w:rPr>
            </m:ctrlPr>
          </m:sSubPr>
          <m:e>
            <m:r>
              <w:rPr>
                <w:rFonts w:ascii="Cambria Math" w:eastAsia="Batang" w:hAnsi="Cambria Math"/>
                <w:szCs w:val="24"/>
              </w:rPr>
              <m:t>P</m:t>
            </m:r>
          </m:e>
          <m:sub>
            <m:r>
              <w:rPr>
                <w:rFonts w:ascii="Cambria Math" w:eastAsia="Batang" w:hAnsi="Cambria Math"/>
                <w:szCs w:val="24"/>
              </w:rPr>
              <m:t>n</m:t>
            </m:r>
          </m:sub>
        </m:sSub>
      </m:oMath>
      <w:r w:rsidR="000C1E0E">
        <w:rPr>
          <w:rFonts w:eastAsia="Batang"/>
          <w:szCs w:val="24"/>
        </w:rPr>
        <w:t xml:space="preserve"> - сумма n-ого денежного потока (проценты и основная сумма); </w:t>
      </w:r>
    </w:p>
    <w:p w14:paraId="4FDCB94E" w14:textId="77777777" w:rsidR="000C1E0E" w:rsidRDefault="000C1E0E" w:rsidP="000C1E0E">
      <w:pPr>
        <w:pStyle w:val="12"/>
        <w:tabs>
          <w:tab w:val="left" w:pos="993"/>
        </w:tabs>
        <w:spacing w:before="120" w:line="276" w:lineRule="auto"/>
        <w:ind w:left="0"/>
        <w:jc w:val="both"/>
        <w:rPr>
          <w:rFonts w:eastAsia="Batang"/>
          <w:szCs w:val="24"/>
        </w:rPr>
      </w:pPr>
      <w:r>
        <w:rPr>
          <w:rFonts w:eastAsia="Batang"/>
          <w:szCs w:val="24"/>
        </w:rPr>
        <w:t>n - порядковый номер денежного потока, начиная с даты определения СЧА;</w:t>
      </w:r>
    </w:p>
    <w:p w14:paraId="61BDB49C" w14:textId="77777777" w:rsidR="000C1E0E" w:rsidRDefault="000C1E0E" w:rsidP="000C1E0E">
      <w:pPr>
        <w:pStyle w:val="12"/>
        <w:tabs>
          <w:tab w:val="left" w:pos="993"/>
        </w:tabs>
        <w:spacing w:before="120" w:line="276" w:lineRule="auto"/>
        <w:ind w:left="0"/>
        <w:jc w:val="both"/>
        <w:rPr>
          <w:rFonts w:eastAsia="Batang"/>
          <w:szCs w:val="24"/>
        </w:rPr>
      </w:pPr>
      <w:r>
        <w:rPr>
          <w:rFonts w:eastAsia="Batang"/>
          <w:szCs w:val="24"/>
        </w:rPr>
        <w:object w:dxaOrig="330" w:dyaOrig="375" w14:anchorId="07AB2A35">
          <v:shape id="_x0000_i1071" type="#_x0000_t75" style="width:16.75pt;height:18.4pt" o:ole="">
            <v:imagedata r:id="rId102" o:title=""/>
          </v:shape>
          <o:OLEObject Type="Embed" ProgID="Equation.3" ShapeID="_x0000_i1071" DrawAspect="Content" ObjectID="_1685873772" r:id="rId103"/>
        </w:object>
      </w:r>
      <w:r>
        <w:rPr>
          <w:rFonts w:eastAsia="Batang"/>
          <w:szCs w:val="24"/>
        </w:rPr>
        <w:t xml:space="preserve"> - количество дней от даты определения СЧА до даты n-ого денежного потока;</w:t>
      </w:r>
    </w:p>
    <w:p w14:paraId="45C6A541" w14:textId="77777777" w:rsidR="000C1E0E" w:rsidRDefault="000C1E0E" w:rsidP="000C1E0E">
      <w:pPr>
        <w:autoSpaceDN w:val="0"/>
        <w:spacing w:line="360" w:lineRule="auto"/>
        <w:ind w:firstLine="567"/>
        <w:rPr>
          <w:sz w:val="24"/>
          <w:szCs w:val="24"/>
        </w:rPr>
      </w:pPr>
      <w:r>
        <w:rPr>
          <w:sz w:val="24"/>
          <w:szCs w:val="24"/>
        </w:rPr>
        <w:t>r  - ставка        дисконтирования    в   процентах   годовых, определенная в соответствии с  п. 3.17. настоящих Правил.</w:t>
      </w:r>
    </w:p>
    <w:p w14:paraId="70BE8D9F" w14:textId="77777777" w:rsidR="000C1E0E" w:rsidRDefault="000C1E0E" w:rsidP="000C1E0E">
      <w:pPr>
        <w:autoSpaceDE w:val="0"/>
        <w:autoSpaceDN w:val="0"/>
        <w:spacing w:line="240" w:lineRule="auto"/>
        <w:rPr>
          <w:sz w:val="24"/>
          <w:szCs w:val="24"/>
        </w:rPr>
      </w:pPr>
      <w:r>
        <w:rPr>
          <w:sz w:val="24"/>
          <w:szCs w:val="24"/>
        </w:rPr>
        <w:t>Вероятность дефолта (PD) контрагента на горизонте 1 год определяется следующим образом:</w:t>
      </w:r>
    </w:p>
    <w:p w14:paraId="594BF2E3" w14:textId="77777777" w:rsidR="000C1E0E" w:rsidRDefault="000C1E0E" w:rsidP="000C1E0E">
      <w:pPr>
        <w:autoSpaceDE w:val="0"/>
        <w:autoSpaceDN w:val="0"/>
        <w:spacing w:line="240" w:lineRule="auto"/>
        <w:rPr>
          <w:sz w:val="24"/>
          <w:szCs w:val="24"/>
        </w:rPr>
      </w:pPr>
      <w:r>
        <w:rPr>
          <w:sz w:val="24"/>
          <w:szCs w:val="24"/>
        </w:rPr>
        <w:t>1.1. В случае наличия у контрагента долгосрочного рейтинга в иностранной валюте следующих агентств:</w:t>
      </w:r>
    </w:p>
    <w:p w14:paraId="51B1DE7B" w14:textId="77777777" w:rsidR="000C1E0E" w:rsidRDefault="000C1E0E" w:rsidP="000C1E0E">
      <w:pPr>
        <w:autoSpaceDE w:val="0"/>
        <w:autoSpaceDN w:val="0"/>
        <w:spacing w:line="240" w:lineRule="auto"/>
        <w:ind w:firstLine="708"/>
        <w:rPr>
          <w:sz w:val="24"/>
          <w:szCs w:val="24"/>
          <w:lang w:val="en-US"/>
        </w:rPr>
      </w:pPr>
      <w:r>
        <w:rPr>
          <w:sz w:val="24"/>
          <w:szCs w:val="24"/>
          <w:lang w:val="en-US"/>
        </w:rPr>
        <w:t>- Standard &amp; Poor’s;</w:t>
      </w:r>
    </w:p>
    <w:p w14:paraId="2FB103BB" w14:textId="77777777" w:rsidR="000C1E0E" w:rsidRDefault="000C1E0E" w:rsidP="000C1E0E">
      <w:pPr>
        <w:autoSpaceDE w:val="0"/>
        <w:autoSpaceDN w:val="0"/>
        <w:spacing w:line="240" w:lineRule="auto"/>
        <w:ind w:firstLine="708"/>
        <w:rPr>
          <w:sz w:val="24"/>
          <w:szCs w:val="24"/>
          <w:lang w:val="en-US"/>
        </w:rPr>
      </w:pPr>
      <w:r>
        <w:rPr>
          <w:sz w:val="24"/>
          <w:szCs w:val="24"/>
          <w:lang w:val="en-US"/>
        </w:rPr>
        <w:t>- Moody’s Investors Service;</w:t>
      </w:r>
    </w:p>
    <w:p w14:paraId="34E8D7C1" w14:textId="77777777" w:rsidR="000C1E0E" w:rsidRDefault="000C1E0E" w:rsidP="000C1E0E">
      <w:pPr>
        <w:autoSpaceDE w:val="0"/>
        <w:autoSpaceDN w:val="0"/>
        <w:spacing w:line="240" w:lineRule="auto"/>
        <w:ind w:firstLine="708"/>
        <w:rPr>
          <w:sz w:val="24"/>
          <w:szCs w:val="24"/>
        </w:rPr>
      </w:pPr>
      <w:r>
        <w:rPr>
          <w:sz w:val="24"/>
          <w:szCs w:val="24"/>
        </w:rPr>
        <w:t>- Fitch Ratings</w:t>
      </w:r>
    </w:p>
    <w:p w14:paraId="63A9D124" w14:textId="77777777" w:rsidR="000C1E0E" w:rsidRDefault="000C1E0E" w:rsidP="000C1E0E">
      <w:pPr>
        <w:autoSpaceDE w:val="0"/>
        <w:autoSpaceDN w:val="0"/>
        <w:spacing w:line="240" w:lineRule="auto"/>
        <w:rPr>
          <w:sz w:val="24"/>
          <w:szCs w:val="24"/>
        </w:rPr>
      </w:pPr>
      <w:r>
        <w:rPr>
          <w:sz w:val="24"/>
          <w:szCs w:val="24"/>
        </w:rPr>
        <w:t>или наличия кредитных рейтингов агентств:</w:t>
      </w:r>
    </w:p>
    <w:p w14:paraId="04C93D9B" w14:textId="77777777" w:rsidR="000C1E0E" w:rsidRDefault="000C1E0E" w:rsidP="000C1E0E">
      <w:pPr>
        <w:autoSpaceDE w:val="0"/>
        <w:autoSpaceDN w:val="0"/>
        <w:spacing w:line="240" w:lineRule="auto"/>
        <w:rPr>
          <w:sz w:val="24"/>
          <w:szCs w:val="24"/>
        </w:rPr>
      </w:pPr>
      <w:r>
        <w:rPr>
          <w:sz w:val="24"/>
          <w:szCs w:val="24"/>
        </w:rPr>
        <w:tab/>
        <w:t>- Рейтинговое агентство RAEX («Эксперт РА»);</w:t>
      </w:r>
    </w:p>
    <w:p w14:paraId="374D0986" w14:textId="77777777" w:rsidR="000C1E0E" w:rsidRDefault="000C1E0E" w:rsidP="000C1E0E">
      <w:pPr>
        <w:autoSpaceDE w:val="0"/>
        <w:autoSpaceDN w:val="0"/>
        <w:spacing w:line="240" w:lineRule="auto"/>
        <w:rPr>
          <w:sz w:val="24"/>
          <w:szCs w:val="24"/>
        </w:rPr>
      </w:pPr>
      <w:r>
        <w:rPr>
          <w:sz w:val="24"/>
          <w:szCs w:val="24"/>
        </w:rPr>
        <w:tab/>
        <w:t>- Аналитическое Кредитное Рейтинговое Агентство (АКРА)</w:t>
      </w:r>
    </w:p>
    <w:p w14:paraId="21732596" w14:textId="77777777" w:rsidR="000C1E0E" w:rsidRDefault="000C1E0E" w:rsidP="000C1E0E">
      <w:pPr>
        <w:autoSpaceDE w:val="0"/>
        <w:autoSpaceDN w:val="0"/>
        <w:spacing w:line="240" w:lineRule="auto"/>
        <w:rPr>
          <w:sz w:val="24"/>
          <w:szCs w:val="24"/>
        </w:rPr>
      </w:pPr>
      <w:r>
        <w:rPr>
          <w:sz w:val="24"/>
          <w:szCs w:val="24"/>
        </w:rPr>
        <w:t>вероятность дефолта контрагента на горизонте 1 год определяется согласно Таблице 1 (в качестве оценки по рейтингу берется максимальный из присвоенных рейтингов). Величина PD принимается равной 1 при фактической просрочке обязательства контрагентом.</w:t>
      </w:r>
    </w:p>
    <w:p w14:paraId="59759F0B" w14:textId="77777777" w:rsidR="000C1E0E" w:rsidRDefault="000C1E0E" w:rsidP="000C1E0E">
      <w:pPr>
        <w:autoSpaceDE w:val="0"/>
        <w:autoSpaceDN w:val="0"/>
        <w:spacing w:line="240" w:lineRule="auto"/>
        <w:rPr>
          <w:sz w:val="24"/>
          <w:szCs w:val="24"/>
        </w:rPr>
      </w:pPr>
      <w:r>
        <w:rPr>
          <w:sz w:val="24"/>
          <w:szCs w:val="24"/>
        </w:rPr>
        <w:t>1.2. В случае отсутствия у контрагента рейтингов агентств, указанных в п. 1.1., контрагенту присваивается внутренний рейтинг на основании итогового балла по контрагенту, рассчитанного как сумма баллов, указанных в Таблице 2 для соответствующего диапазона значений каждого рассчитанного коэффициента, взвешенных на соответствующий данному коэффициенту вес. Соответствие внутреннего рейтинга полученному итоговому баллу, а также рейтингу от агентства Standard &amp; Poor’s указано в Таблице 3. Вероятность дефолта контрагента на горизонте 1 год определяется согласно Таблице 1. Величина PD принимается равной 1 при фактической просрочке обязательства контрагентом согласно Приложению №5 к Стандартам НАУФОР определения стоимости чистых активов паевого инвестиционного фонда и стоимости инвестиционного пая.</w:t>
      </w:r>
    </w:p>
    <w:p w14:paraId="106341A4" w14:textId="77777777" w:rsidR="000C1E0E" w:rsidRDefault="000C1E0E" w:rsidP="000C1E0E">
      <w:pPr>
        <w:autoSpaceDE w:val="0"/>
        <w:autoSpaceDN w:val="0"/>
        <w:spacing w:line="240" w:lineRule="auto"/>
        <w:rPr>
          <w:sz w:val="24"/>
          <w:szCs w:val="24"/>
        </w:rPr>
      </w:pPr>
    </w:p>
    <w:p w14:paraId="4AD9DF7C" w14:textId="77777777" w:rsidR="000C1E0E" w:rsidRDefault="000C1E0E" w:rsidP="000C1E0E">
      <w:pPr>
        <w:autoSpaceDE w:val="0"/>
        <w:autoSpaceDN w:val="0"/>
        <w:spacing w:line="240" w:lineRule="auto"/>
        <w:rPr>
          <w:sz w:val="24"/>
          <w:szCs w:val="24"/>
        </w:rPr>
      </w:pPr>
      <w:r>
        <w:rPr>
          <w:sz w:val="24"/>
          <w:szCs w:val="24"/>
        </w:rPr>
        <w:t>2. Доля от суммы, подверженной кредитному риску, которая может быть потеряна в случае дефолта контрагента (Loss Given Default, LGD), определяется следующим образом:</w:t>
      </w:r>
    </w:p>
    <w:p w14:paraId="235F66A6" w14:textId="77777777" w:rsidR="000C1E0E" w:rsidRDefault="000C1E0E" w:rsidP="000C1E0E">
      <w:pPr>
        <w:autoSpaceDE w:val="0"/>
        <w:autoSpaceDN w:val="0"/>
        <w:spacing w:line="240" w:lineRule="auto"/>
        <w:rPr>
          <w:sz w:val="24"/>
          <w:szCs w:val="24"/>
        </w:rPr>
      </w:pPr>
      <w:r>
        <w:rPr>
          <w:sz w:val="24"/>
          <w:szCs w:val="24"/>
        </w:rPr>
        <w:t>2.1. В случае наличия у контрагента долгосрочного рейтинга в иностранной валюте следующих агентств:</w:t>
      </w:r>
    </w:p>
    <w:p w14:paraId="1DF1B68A" w14:textId="77777777" w:rsidR="000C1E0E" w:rsidRDefault="000C1E0E" w:rsidP="000C1E0E">
      <w:pPr>
        <w:autoSpaceDE w:val="0"/>
        <w:autoSpaceDN w:val="0"/>
        <w:spacing w:line="240" w:lineRule="auto"/>
        <w:ind w:firstLine="708"/>
        <w:rPr>
          <w:sz w:val="24"/>
          <w:szCs w:val="24"/>
          <w:lang w:val="en-US"/>
        </w:rPr>
      </w:pPr>
      <w:r>
        <w:rPr>
          <w:sz w:val="24"/>
          <w:szCs w:val="24"/>
          <w:lang w:val="en-US"/>
        </w:rPr>
        <w:t>- Standard &amp; Poor’s;</w:t>
      </w:r>
    </w:p>
    <w:p w14:paraId="5CF48381" w14:textId="77777777" w:rsidR="000C1E0E" w:rsidRDefault="000C1E0E" w:rsidP="000C1E0E">
      <w:pPr>
        <w:autoSpaceDE w:val="0"/>
        <w:autoSpaceDN w:val="0"/>
        <w:spacing w:line="240" w:lineRule="auto"/>
        <w:ind w:firstLine="708"/>
        <w:rPr>
          <w:sz w:val="24"/>
          <w:szCs w:val="24"/>
          <w:lang w:val="en-US"/>
        </w:rPr>
      </w:pPr>
      <w:r>
        <w:rPr>
          <w:sz w:val="24"/>
          <w:szCs w:val="24"/>
          <w:lang w:val="en-US"/>
        </w:rPr>
        <w:t>- Moody’s Investors Service;</w:t>
      </w:r>
    </w:p>
    <w:p w14:paraId="2B65CE9F" w14:textId="77777777" w:rsidR="000C1E0E" w:rsidRDefault="000C1E0E" w:rsidP="000C1E0E">
      <w:pPr>
        <w:autoSpaceDE w:val="0"/>
        <w:autoSpaceDN w:val="0"/>
        <w:spacing w:line="240" w:lineRule="auto"/>
        <w:ind w:firstLine="708"/>
        <w:rPr>
          <w:sz w:val="24"/>
          <w:szCs w:val="24"/>
        </w:rPr>
      </w:pPr>
      <w:r>
        <w:rPr>
          <w:sz w:val="24"/>
          <w:szCs w:val="24"/>
        </w:rPr>
        <w:t>- Fitch Ratings</w:t>
      </w:r>
    </w:p>
    <w:p w14:paraId="7BB46CAB" w14:textId="77777777" w:rsidR="000C1E0E" w:rsidRDefault="000C1E0E" w:rsidP="000C1E0E">
      <w:pPr>
        <w:autoSpaceDE w:val="0"/>
        <w:autoSpaceDN w:val="0"/>
        <w:spacing w:line="240" w:lineRule="auto"/>
        <w:rPr>
          <w:sz w:val="24"/>
          <w:szCs w:val="24"/>
        </w:rPr>
      </w:pPr>
      <w:r>
        <w:rPr>
          <w:sz w:val="24"/>
          <w:szCs w:val="24"/>
        </w:rPr>
        <w:t>или наличия кредитных рейтингов агентств:</w:t>
      </w:r>
    </w:p>
    <w:p w14:paraId="53B9E431" w14:textId="77777777" w:rsidR="000C1E0E" w:rsidRDefault="000C1E0E" w:rsidP="000C1E0E">
      <w:pPr>
        <w:autoSpaceDE w:val="0"/>
        <w:autoSpaceDN w:val="0"/>
        <w:spacing w:line="240" w:lineRule="auto"/>
        <w:rPr>
          <w:sz w:val="24"/>
          <w:szCs w:val="24"/>
        </w:rPr>
      </w:pPr>
      <w:r>
        <w:rPr>
          <w:sz w:val="24"/>
          <w:szCs w:val="24"/>
        </w:rPr>
        <w:tab/>
        <w:t>- Рейтинговое агентство RAEX («Эксперт РА»);</w:t>
      </w:r>
    </w:p>
    <w:p w14:paraId="1D74003F" w14:textId="77777777" w:rsidR="000C1E0E" w:rsidRDefault="000C1E0E" w:rsidP="000C1E0E">
      <w:pPr>
        <w:autoSpaceDE w:val="0"/>
        <w:autoSpaceDN w:val="0"/>
        <w:spacing w:line="240" w:lineRule="auto"/>
        <w:rPr>
          <w:sz w:val="24"/>
          <w:szCs w:val="24"/>
        </w:rPr>
      </w:pPr>
      <w:r>
        <w:rPr>
          <w:sz w:val="24"/>
          <w:szCs w:val="24"/>
        </w:rPr>
        <w:tab/>
        <w:t>- Аналитическое Кредитное Рейтинговое Агентство (АКРА)</w:t>
      </w:r>
    </w:p>
    <w:p w14:paraId="063A3F91" w14:textId="77777777" w:rsidR="000C1E0E" w:rsidRDefault="000C1E0E" w:rsidP="000C1E0E">
      <w:pPr>
        <w:autoSpaceDE w:val="0"/>
        <w:autoSpaceDN w:val="0"/>
        <w:spacing w:line="240" w:lineRule="auto"/>
        <w:rPr>
          <w:sz w:val="24"/>
          <w:szCs w:val="24"/>
        </w:rPr>
      </w:pPr>
      <w:r>
        <w:rPr>
          <w:sz w:val="24"/>
          <w:szCs w:val="24"/>
        </w:rPr>
        <w:t>LGD контрагента определяется согласно Таблице 1 (в качестве оценки по рейтингу берется максимальный из присвоенных рейтингов).</w:t>
      </w:r>
    </w:p>
    <w:p w14:paraId="03A54684" w14:textId="77777777" w:rsidR="000C1E0E" w:rsidRDefault="000C1E0E" w:rsidP="000C1E0E">
      <w:pPr>
        <w:autoSpaceDE w:val="0"/>
        <w:autoSpaceDN w:val="0"/>
        <w:spacing w:line="240" w:lineRule="auto"/>
        <w:rPr>
          <w:sz w:val="24"/>
          <w:szCs w:val="24"/>
        </w:rPr>
      </w:pPr>
      <w:r>
        <w:rPr>
          <w:sz w:val="24"/>
          <w:szCs w:val="24"/>
        </w:rPr>
        <w:t>2.2. В случае отсутствия у контрагента рейтингов агентств, указанных в п. 2.1., контрагенту присваивается внутренний рейтинг на основании итогового балла по контрагенту, рассчитанного как сумма баллов, указанных в Таблице 2 для соответствующего диапазона значений каждого рассчитанного коэффициента, взвешенных на соответствующий данному коэффициенту вес. Расчет предоставляется в специализированный депозитарий с приложением отчетности контрагента. Соответствие внутреннего рейтинга полученному итоговому баллу, а также рейтингу от агентства Standard &amp; Poor’s указано в Таблице 3. LGD контрагента определяется согласно Таблице 1.</w:t>
      </w:r>
    </w:p>
    <w:p w14:paraId="768EE933" w14:textId="77777777" w:rsidR="000C1E0E" w:rsidRDefault="000C1E0E" w:rsidP="000C1E0E">
      <w:pPr>
        <w:autoSpaceDE w:val="0"/>
        <w:autoSpaceDN w:val="0"/>
        <w:spacing w:line="240" w:lineRule="auto"/>
        <w:rPr>
          <w:sz w:val="24"/>
          <w:szCs w:val="24"/>
        </w:rPr>
      </w:pPr>
      <w:r>
        <w:rPr>
          <w:sz w:val="24"/>
          <w:szCs w:val="24"/>
        </w:rPr>
        <w:t>2.3. В случае, если денежные средства Компании размещены на обособленном счёте контрагента-брокера, LGD контрагента принимается равным 0%.</w:t>
      </w:r>
    </w:p>
    <w:p w14:paraId="63955305" w14:textId="77777777" w:rsidR="000C1E0E" w:rsidRDefault="000C1E0E" w:rsidP="000C1E0E">
      <w:pPr>
        <w:autoSpaceDE w:val="0"/>
        <w:autoSpaceDN w:val="0"/>
        <w:spacing w:line="240" w:lineRule="auto"/>
        <w:rPr>
          <w:sz w:val="24"/>
          <w:szCs w:val="24"/>
        </w:rPr>
      </w:pPr>
    </w:p>
    <w:p w14:paraId="729ECCA4" w14:textId="77777777" w:rsidR="000C1E0E" w:rsidRDefault="000C1E0E" w:rsidP="000C1E0E">
      <w:pPr>
        <w:autoSpaceDE w:val="0"/>
        <w:autoSpaceDN w:val="0"/>
        <w:spacing w:line="240" w:lineRule="auto"/>
        <w:rPr>
          <w:sz w:val="24"/>
          <w:szCs w:val="24"/>
        </w:rPr>
      </w:pPr>
    </w:p>
    <w:p w14:paraId="511DAA03" w14:textId="77777777" w:rsidR="000C1E0E" w:rsidRDefault="000C1E0E" w:rsidP="000C1E0E">
      <w:pPr>
        <w:keepNext/>
        <w:tabs>
          <w:tab w:val="left" w:pos="2977"/>
        </w:tabs>
        <w:suppressAutoHyphens/>
        <w:spacing w:line="240" w:lineRule="auto"/>
        <w:jc w:val="center"/>
        <w:outlineLvl w:val="2"/>
        <w:rPr>
          <w:sz w:val="24"/>
          <w:szCs w:val="24"/>
        </w:rPr>
      </w:pPr>
      <w:bookmarkStart w:id="2" w:name="_Toc469323112"/>
      <w:r>
        <w:rPr>
          <w:sz w:val="24"/>
          <w:szCs w:val="24"/>
        </w:rPr>
        <w:t>Таблица 1. Вероятность дефолта контрагента и величина потерь при банкротстве на основании кредитного рейтинга.</w:t>
      </w:r>
      <w:bookmarkEnd w:id="2"/>
    </w:p>
    <w:p w14:paraId="7A100748" w14:textId="27E5AEAC" w:rsidR="000C1E0E" w:rsidRDefault="000C1E0E" w:rsidP="000C1E0E">
      <w:pPr>
        <w:spacing w:after="120" w:line="240" w:lineRule="auto"/>
        <w:rPr>
          <w:sz w:val="24"/>
          <w:szCs w:val="24"/>
        </w:rPr>
      </w:pPr>
      <w:r>
        <w:rPr>
          <w:sz w:val="24"/>
          <w:szCs w:val="24"/>
        </w:rPr>
        <w:t xml:space="preserve">Таблица соответствия шкал рейтингов, используемых международными рейтинговыми агентствами и вероятностей дефолта. </w:t>
      </w:r>
    </w:p>
    <w:p w14:paraId="53F45F53" w14:textId="77777777" w:rsidR="000C1E0E" w:rsidRDefault="000C1E0E" w:rsidP="000C1E0E">
      <w:pPr>
        <w:spacing w:line="240" w:lineRule="auto"/>
        <w:rPr>
          <w:sz w:val="24"/>
          <w:szCs w:val="24"/>
        </w:rPr>
      </w:pPr>
    </w:p>
    <w:tbl>
      <w:tblPr>
        <w:tblW w:w="4929"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56"/>
        <w:gridCol w:w="1258"/>
        <w:gridCol w:w="1194"/>
        <w:gridCol w:w="1185"/>
        <w:gridCol w:w="1325"/>
        <w:gridCol w:w="1508"/>
        <w:gridCol w:w="1466"/>
      </w:tblGrid>
      <w:tr w:rsidR="000C1E0E" w14:paraId="5BF98D65" w14:textId="77777777" w:rsidTr="0098752B">
        <w:trPr>
          <w:trHeight w:val="340"/>
          <w:jc w:val="center"/>
        </w:trPr>
        <w:tc>
          <w:tcPr>
            <w:tcW w:w="1355" w:type="dxa"/>
            <w:tcBorders>
              <w:top w:val="single" w:sz="12" w:space="0" w:color="auto"/>
              <w:left w:val="single" w:sz="12" w:space="0" w:color="auto"/>
              <w:bottom w:val="single" w:sz="12" w:space="0" w:color="auto"/>
              <w:right w:val="single" w:sz="6" w:space="0" w:color="auto"/>
            </w:tcBorders>
            <w:shd w:val="pct20" w:color="C0C0C0" w:fill="auto"/>
            <w:vAlign w:val="center"/>
            <w:hideMark/>
          </w:tcPr>
          <w:p w14:paraId="60F9CAE4" w14:textId="77777777" w:rsidR="000C1E0E" w:rsidRDefault="000C1E0E" w:rsidP="0098752B">
            <w:pPr>
              <w:spacing w:line="240" w:lineRule="auto"/>
              <w:jc w:val="center"/>
              <w:rPr>
                <w:sz w:val="24"/>
                <w:szCs w:val="24"/>
              </w:rPr>
            </w:pPr>
            <w:r>
              <w:rPr>
                <w:sz w:val="24"/>
                <w:szCs w:val="24"/>
              </w:rPr>
              <w:t>Standard &amp; Poor’s</w:t>
            </w:r>
          </w:p>
        </w:tc>
        <w:tc>
          <w:tcPr>
            <w:tcW w:w="1346"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69E98190" w14:textId="77777777" w:rsidR="000C1E0E" w:rsidRDefault="000C1E0E" w:rsidP="0098752B">
            <w:pPr>
              <w:spacing w:line="240" w:lineRule="auto"/>
              <w:jc w:val="center"/>
              <w:rPr>
                <w:sz w:val="24"/>
                <w:szCs w:val="24"/>
              </w:rPr>
            </w:pPr>
            <w:r>
              <w:rPr>
                <w:sz w:val="24"/>
                <w:szCs w:val="24"/>
              </w:rPr>
              <w:t>Moody’s Investors Service</w:t>
            </w:r>
          </w:p>
        </w:tc>
        <w:tc>
          <w:tcPr>
            <w:tcW w:w="1326"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3E1C715E" w14:textId="77777777" w:rsidR="000C1E0E" w:rsidRDefault="000C1E0E" w:rsidP="0098752B">
            <w:pPr>
              <w:spacing w:line="240" w:lineRule="auto"/>
              <w:jc w:val="center"/>
              <w:rPr>
                <w:sz w:val="24"/>
                <w:szCs w:val="24"/>
              </w:rPr>
            </w:pPr>
            <w:r>
              <w:rPr>
                <w:sz w:val="24"/>
                <w:szCs w:val="24"/>
              </w:rPr>
              <w:t>Fitch Ratings</w:t>
            </w:r>
          </w:p>
        </w:tc>
        <w:tc>
          <w:tcPr>
            <w:tcW w:w="1268"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6435E6E2" w14:textId="77777777" w:rsidR="000C1E0E" w:rsidRDefault="000C1E0E" w:rsidP="0098752B">
            <w:pPr>
              <w:spacing w:line="240" w:lineRule="auto"/>
              <w:jc w:val="center"/>
              <w:rPr>
                <w:sz w:val="24"/>
                <w:szCs w:val="24"/>
              </w:rPr>
            </w:pPr>
            <w:r>
              <w:rPr>
                <w:sz w:val="24"/>
                <w:szCs w:val="24"/>
              </w:rPr>
              <w:t>эксперт ра</w:t>
            </w:r>
          </w:p>
        </w:tc>
        <w:tc>
          <w:tcPr>
            <w:tcW w:w="1268"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02E74DBD" w14:textId="77777777" w:rsidR="000C1E0E" w:rsidRDefault="000C1E0E" w:rsidP="0098752B">
            <w:pPr>
              <w:spacing w:line="240" w:lineRule="auto"/>
              <w:jc w:val="center"/>
              <w:rPr>
                <w:sz w:val="24"/>
                <w:szCs w:val="24"/>
              </w:rPr>
            </w:pPr>
            <w:r>
              <w:rPr>
                <w:sz w:val="24"/>
                <w:szCs w:val="24"/>
              </w:rPr>
              <w:t>АКРА</w:t>
            </w:r>
          </w:p>
        </w:tc>
        <w:tc>
          <w:tcPr>
            <w:tcW w:w="1449"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7E9DF2C5" w14:textId="77777777" w:rsidR="000C1E0E" w:rsidRDefault="000C1E0E" w:rsidP="0098752B">
            <w:pPr>
              <w:spacing w:line="240" w:lineRule="auto"/>
              <w:jc w:val="center"/>
              <w:rPr>
                <w:sz w:val="24"/>
                <w:szCs w:val="24"/>
              </w:rPr>
            </w:pPr>
            <w:r>
              <w:rPr>
                <w:sz w:val="24"/>
                <w:szCs w:val="24"/>
              </w:rPr>
              <w:t>Вероятность дефолта (PD)</w:t>
            </w:r>
          </w:p>
        </w:tc>
        <w:tc>
          <w:tcPr>
            <w:tcW w:w="1423" w:type="dxa"/>
            <w:tcBorders>
              <w:top w:val="single" w:sz="12" w:space="0" w:color="auto"/>
              <w:left w:val="single" w:sz="6" w:space="0" w:color="auto"/>
              <w:bottom w:val="single" w:sz="12" w:space="0" w:color="auto"/>
              <w:right w:val="single" w:sz="12" w:space="0" w:color="auto"/>
            </w:tcBorders>
            <w:shd w:val="pct20" w:color="C0C0C0" w:fill="auto"/>
            <w:vAlign w:val="center"/>
            <w:hideMark/>
          </w:tcPr>
          <w:p w14:paraId="0C7768BB" w14:textId="77777777" w:rsidR="000C1E0E" w:rsidRDefault="000C1E0E" w:rsidP="0098752B">
            <w:pPr>
              <w:spacing w:line="240" w:lineRule="auto"/>
              <w:jc w:val="center"/>
              <w:rPr>
                <w:sz w:val="24"/>
                <w:szCs w:val="24"/>
              </w:rPr>
            </w:pPr>
            <w:r>
              <w:rPr>
                <w:sz w:val="24"/>
                <w:szCs w:val="24"/>
              </w:rPr>
              <w:t>потери при банкротстве (LGD)</w:t>
            </w:r>
          </w:p>
        </w:tc>
      </w:tr>
      <w:tr w:rsidR="000C1E0E" w14:paraId="39B65F1D" w14:textId="77777777" w:rsidTr="0098752B">
        <w:trPr>
          <w:trHeight w:val="340"/>
          <w:jc w:val="center"/>
        </w:trPr>
        <w:tc>
          <w:tcPr>
            <w:tcW w:w="1355" w:type="dxa"/>
            <w:tcBorders>
              <w:top w:val="single" w:sz="12" w:space="0" w:color="auto"/>
              <w:left w:val="single" w:sz="12" w:space="0" w:color="auto"/>
              <w:bottom w:val="single" w:sz="6" w:space="0" w:color="auto"/>
              <w:right w:val="single" w:sz="6" w:space="0" w:color="auto"/>
            </w:tcBorders>
            <w:vAlign w:val="center"/>
            <w:hideMark/>
          </w:tcPr>
          <w:p w14:paraId="0FB25621" w14:textId="77777777" w:rsidR="000C1E0E" w:rsidRDefault="000C1E0E" w:rsidP="0098752B">
            <w:pPr>
              <w:spacing w:line="240" w:lineRule="auto"/>
              <w:jc w:val="center"/>
              <w:rPr>
                <w:sz w:val="24"/>
                <w:szCs w:val="24"/>
              </w:rPr>
            </w:pPr>
            <w:r>
              <w:rPr>
                <w:sz w:val="24"/>
                <w:szCs w:val="24"/>
              </w:rPr>
              <w:t>AAA</w:t>
            </w:r>
          </w:p>
        </w:tc>
        <w:tc>
          <w:tcPr>
            <w:tcW w:w="1346" w:type="dxa"/>
            <w:tcBorders>
              <w:top w:val="single" w:sz="12" w:space="0" w:color="auto"/>
              <w:left w:val="single" w:sz="6" w:space="0" w:color="auto"/>
              <w:bottom w:val="single" w:sz="6" w:space="0" w:color="auto"/>
              <w:right w:val="single" w:sz="6" w:space="0" w:color="auto"/>
            </w:tcBorders>
            <w:vAlign w:val="center"/>
            <w:hideMark/>
          </w:tcPr>
          <w:p w14:paraId="479EDBD2" w14:textId="77777777" w:rsidR="000C1E0E" w:rsidRDefault="000C1E0E" w:rsidP="0098752B">
            <w:pPr>
              <w:spacing w:line="240" w:lineRule="auto"/>
              <w:jc w:val="center"/>
              <w:rPr>
                <w:sz w:val="24"/>
                <w:szCs w:val="24"/>
              </w:rPr>
            </w:pPr>
            <w:r>
              <w:rPr>
                <w:sz w:val="24"/>
                <w:szCs w:val="24"/>
              </w:rPr>
              <w:t>Aaa</w:t>
            </w:r>
          </w:p>
        </w:tc>
        <w:tc>
          <w:tcPr>
            <w:tcW w:w="1326" w:type="dxa"/>
            <w:tcBorders>
              <w:top w:val="single" w:sz="12" w:space="0" w:color="auto"/>
              <w:left w:val="single" w:sz="6" w:space="0" w:color="auto"/>
              <w:bottom w:val="single" w:sz="6" w:space="0" w:color="auto"/>
              <w:right w:val="single" w:sz="6" w:space="0" w:color="auto"/>
            </w:tcBorders>
            <w:vAlign w:val="center"/>
            <w:hideMark/>
          </w:tcPr>
          <w:p w14:paraId="3463EB18" w14:textId="77777777" w:rsidR="000C1E0E" w:rsidRDefault="000C1E0E" w:rsidP="0098752B">
            <w:pPr>
              <w:spacing w:line="240" w:lineRule="auto"/>
              <w:jc w:val="center"/>
              <w:rPr>
                <w:sz w:val="24"/>
                <w:szCs w:val="24"/>
              </w:rPr>
            </w:pPr>
            <w:r>
              <w:rPr>
                <w:sz w:val="24"/>
                <w:szCs w:val="24"/>
              </w:rPr>
              <w:t>AAA</w:t>
            </w:r>
          </w:p>
        </w:tc>
        <w:tc>
          <w:tcPr>
            <w:tcW w:w="1268" w:type="dxa"/>
            <w:tcBorders>
              <w:top w:val="single" w:sz="12" w:space="0" w:color="auto"/>
              <w:left w:val="single" w:sz="6" w:space="0" w:color="auto"/>
              <w:bottom w:val="single" w:sz="6" w:space="0" w:color="auto"/>
              <w:right w:val="single" w:sz="6" w:space="0" w:color="auto"/>
            </w:tcBorders>
            <w:vAlign w:val="center"/>
          </w:tcPr>
          <w:p w14:paraId="783ECF75" w14:textId="77777777" w:rsidR="000C1E0E" w:rsidRDefault="000C1E0E" w:rsidP="0098752B">
            <w:pPr>
              <w:spacing w:line="240" w:lineRule="auto"/>
              <w:jc w:val="center"/>
              <w:rPr>
                <w:sz w:val="24"/>
                <w:szCs w:val="24"/>
              </w:rPr>
            </w:pPr>
          </w:p>
        </w:tc>
        <w:tc>
          <w:tcPr>
            <w:tcW w:w="1268" w:type="dxa"/>
            <w:tcBorders>
              <w:top w:val="single" w:sz="12" w:space="0" w:color="auto"/>
              <w:left w:val="single" w:sz="6" w:space="0" w:color="auto"/>
              <w:bottom w:val="single" w:sz="6" w:space="0" w:color="auto"/>
              <w:right w:val="single" w:sz="6" w:space="0" w:color="auto"/>
            </w:tcBorders>
            <w:vAlign w:val="center"/>
          </w:tcPr>
          <w:p w14:paraId="1CA9B03F" w14:textId="77777777" w:rsidR="000C1E0E" w:rsidRDefault="000C1E0E" w:rsidP="0098752B">
            <w:pPr>
              <w:spacing w:line="240" w:lineRule="auto"/>
              <w:jc w:val="center"/>
              <w:rPr>
                <w:sz w:val="24"/>
                <w:szCs w:val="24"/>
              </w:rPr>
            </w:pPr>
          </w:p>
        </w:tc>
        <w:tc>
          <w:tcPr>
            <w:tcW w:w="1449" w:type="dxa"/>
            <w:tcBorders>
              <w:top w:val="single" w:sz="12" w:space="0" w:color="auto"/>
              <w:left w:val="single" w:sz="6" w:space="0" w:color="auto"/>
              <w:bottom w:val="single" w:sz="6" w:space="0" w:color="auto"/>
              <w:right w:val="single" w:sz="6" w:space="0" w:color="auto"/>
            </w:tcBorders>
            <w:vAlign w:val="center"/>
            <w:hideMark/>
          </w:tcPr>
          <w:p w14:paraId="34DB1437" w14:textId="77777777" w:rsidR="000C1E0E" w:rsidRDefault="000C1E0E" w:rsidP="0098752B">
            <w:pPr>
              <w:spacing w:line="240" w:lineRule="auto"/>
              <w:jc w:val="center"/>
              <w:rPr>
                <w:sz w:val="24"/>
                <w:szCs w:val="24"/>
              </w:rPr>
            </w:pPr>
            <w:r>
              <w:rPr>
                <w:sz w:val="24"/>
                <w:szCs w:val="24"/>
              </w:rPr>
              <w:t>0,01%</w:t>
            </w:r>
          </w:p>
        </w:tc>
        <w:tc>
          <w:tcPr>
            <w:tcW w:w="1423" w:type="dxa"/>
            <w:tcBorders>
              <w:top w:val="single" w:sz="12" w:space="0" w:color="auto"/>
              <w:left w:val="single" w:sz="6" w:space="0" w:color="auto"/>
              <w:bottom w:val="single" w:sz="6" w:space="0" w:color="auto"/>
              <w:right w:val="single" w:sz="12" w:space="0" w:color="auto"/>
            </w:tcBorders>
            <w:vAlign w:val="center"/>
            <w:hideMark/>
          </w:tcPr>
          <w:p w14:paraId="53A345B7" w14:textId="77777777" w:rsidR="000C1E0E" w:rsidRDefault="000C1E0E" w:rsidP="0098752B">
            <w:pPr>
              <w:spacing w:line="240" w:lineRule="auto"/>
              <w:jc w:val="center"/>
              <w:rPr>
                <w:sz w:val="24"/>
                <w:szCs w:val="24"/>
              </w:rPr>
            </w:pPr>
            <w:r>
              <w:rPr>
                <w:sz w:val="24"/>
                <w:szCs w:val="24"/>
              </w:rPr>
              <w:t>55%</w:t>
            </w:r>
          </w:p>
        </w:tc>
      </w:tr>
      <w:tr w:rsidR="000C1E0E" w14:paraId="42A439F8"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246BA903" w14:textId="77777777" w:rsidR="000C1E0E" w:rsidRDefault="000C1E0E" w:rsidP="0098752B">
            <w:pPr>
              <w:spacing w:line="240" w:lineRule="auto"/>
              <w:jc w:val="center"/>
              <w:rPr>
                <w:sz w:val="24"/>
                <w:szCs w:val="24"/>
              </w:rPr>
            </w:pPr>
            <w:r>
              <w:rPr>
                <w:sz w:val="24"/>
                <w:szCs w:val="24"/>
              </w:rPr>
              <w:t>AA+</w:t>
            </w:r>
          </w:p>
        </w:tc>
        <w:tc>
          <w:tcPr>
            <w:tcW w:w="1346" w:type="dxa"/>
            <w:tcBorders>
              <w:top w:val="single" w:sz="6" w:space="0" w:color="auto"/>
              <w:left w:val="single" w:sz="6" w:space="0" w:color="auto"/>
              <w:bottom w:val="single" w:sz="6" w:space="0" w:color="auto"/>
              <w:right w:val="single" w:sz="6" w:space="0" w:color="auto"/>
            </w:tcBorders>
            <w:vAlign w:val="center"/>
            <w:hideMark/>
          </w:tcPr>
          <w:p w14:paraId="513FAAE3" w14:textId="77777777" w:rsidR="000C1E0E" w:rsidRDefault="000C1E0E" w:rsidP="0098752B">
            <w:pPr>
              <w:spacing w:line="240" w:lineRule="auto"/>
              <w:jc w:val="center"/>
              <w:rPr>
                <w:sz w:val="24"/>
                <w:szCs w:val="24"/>
              </w:rPr>
            </w:pPr>
            <w:r>
              <w:rPr>
                <w:sz w:val="24"/>
                <w:szCs w:val="24"/>
              </w:rPr>
              <w:t>Aa1</w:t>
            </w:r>
          </w:p>
        </w:tc>
        <w:tc>
          <w:tcPr>
            <w:tcW w:w="1326" w:type="dxa"/>
            <w:tcBorders>
              <w:top w:val="single" w:sz="6" w:space="0" w:color="auto"/>
              <w:left w:val="single" w:sz="6" w:space="0" w:color="auto"/>
              <w:bottom w:val="single" w:sz="6" w:space="0" w:color="auto"/>
              <w:right w:val="single" w:sz="6" w:space="0" w:color="auto"/>
            </w:tcBorders>
            <w:vAlign w:val="center"/>
            <w:hideMark/>
          </w:tcPr>
          <w:p w14:paraId="128B954B" w14:textId="77777777" w:rsidR="000C1E0E" w:rsidRDefault="000C1E0E" w:rsidP="0098752B">
            <w:pPr>
              <w:spacing w:line="240" w:lineRule="auto"/>
              <w:jc w:val="center"/>
              <w:rPr>
                <w:sz w:val="24"/>
                <w:szCs w:val="24"/>
              </w:rPr>
            </w:pPr>
            <w:r>
              <w:rPr>
                <w:sz w:val="24"/>
                <w:szCs w:val="24"/>
              </w:rPr>
              <w:t>AA+</w:t>
            </w:r>
          </w:p>
        </w:tc>
        <w:tc>
          <w:tcPr>
            <w:tcW w:w="1268" w:type="dxa"/>
            <w:tcBorders>
              <w:top w:val="single" w:sz="6" w:space="0" w:color="auto"/>
              <w:left w:val="single" w:sz="6" w:space="0" w:color="auto"/>
              <w:bottom w:val="single" w:sz="6" w:space="0" w:color="auto"/>
              <w:right w:val="single" w:sz="6" w:space="0" w:color="auto"/>
            </w:tcBorders>
            <w:vAlign w:val="center"/>
          </w:tcPr>
          <w:p w14:paraId="0FEB1506"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48923230"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2B9C3F52" w14:textId="77777777" w:rsidR="000C1E0E" w:rsidRDefault="000C1E0E" w:rsidP="0098752B">
            <w:pPr>
              <w:spacing w:line="240" w:lineRule="auto"/>
              <w:jc w:val="center"/>
              <w:rPr>
                <w:sz w:val="24"/>
                <w:szCs w:val="24"/>
              </w:rPr>
            </w:pPr>
            <w:r>
              <w:rPr>
                <w:sz w:val="24"/>
                <w:szCs w:val="24"/>
              </w:rPr>
              <w:t>0,01%</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2435E523" w14:textId="77777777" w:rsidR="000C1E0E" w:rsidRDefault="000C1E0E" w:rsidP="0098752B">
            <w:pPr>
              <w:spacing w:line="240" w:lineRule="auto"/>
              <w:jc w:val="center"/>
              <w:rPr>
                <w:sz w:val="24"/>
                <w:szCs w:val="24"/>
              </w:rPr>
            </w:pPr>
            <w:r>
              <w:rPr>
                <w:sz w:val="24"/>
                <w:szCs w:val="24"/>
              </w:rPr>
              <w:t>55%</w:t>
            </w:r>
          </w:p>
        </w:tc>
      </w:tr>
      <w:tr w:rsidR="000C1E0E" w14:paraId="2890C7F9"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3150B929" w14:textId="77777777" w:rsidR="000C1E0E" w:rsidRDefault="000C1E0E" w:rsidP="0098752B">
            <w:pPr>
              <w:spacing w:line="240" w:lineRule="auto"/>
              <w:jc w:val="center"/>
              <w:rPr>
                <w:sz w:val="24"/>
                <w:szCs w:val="24"/>
              </w:rPr>
            </w:pPr>
            <w:r>
              <w:rPr>
                <w:sz w:val="24"/>
                <w:szCs w:val="24"/>
              </w:rPr>
              <w:t>AA</w:t>
            </w:r>
          </w:p>
        </w:tc>
        <w:tc>
          <w:tcPr>
            <w:tcW w:w="1346" w:type="dxa"/>
            <w:tcBorders>
              <w:top w:val="single" w:sz="6" w:space="0" w:color="auto"/>
              <w:left w:val="single" w:sz="6" w:space="0" w:color="auto"/>
              <w:bottom w:val="single" w:sz="6" w:space="0" w:color="auto"/>
              <w:right w:val="single" w:sz="6" w:space="0" w:color="auto"/>
            </w:tcBorders>
            <w:vAlign w:val="center"/>
            <w:hideMark/>
          </w:tcPr>
          <w:p w14:paraId="00DC1A1D" w14:textId="77777777" w:rsidR="000C1E0E" w:rsidRDefault="000C1E0E" w:rsidP="0098752B">
            <w:pPr>
              <w:spacing w:line="240" w:lineRule="auto"/>
              <w:jc w:val="center"/>
              <w:rPr>
                <w:sz w:val="24"/>
                <w:szCs w:val="24"/>
              </w:rPr>
            </w:pPr>
            <w:r>
              <w:rPr>
                <w:sz w:val="24"/>
                <w:szCs w:val="24"/>
              </w:rPr>
              <w:t>Aa2</w:t>
            </w:r>
          </w:p>
        </w:tc>
        <w:tc>
          <w:tcPr>
            <w:tcW w:w="1326" w:type="dxa"/>
            <w:tcBorders>
              <w:top w:val="single" w:sz="6" w:space="0" w:color="auto"/>
              <w:left w:val="single" w:sz="6" w:space="0" w:color="auto"/>
              <w:bottom w:val="single" w:sz="6" w:space="0" w:color="auto"/>
              <w:right w:val="single" w:sz="6" w:space="0" w:color="auto"/>
            </w:tcBorders>
            <w:vAlign w:val="center"/>
            <w:hideMark/>
          </w:tcPr>
          <w:p w14:paraId="16E27133" w14:textId="77777777" w:rsidR="000C1E0E" w:rsidRDefault="000C1E0E" w:rsidP="0098752B">
            <w:pPr>
              <w:spacing w:line="240" w:lineRule="auto"/>
              <w:jc w:val="center"/>
              <w:rPr>
                <w:sz w:val="24"/>
                <w:szCs w:val="24"/>
              </w:rPr>
            </w:pPr>
            <w:r>
              <w:rPr>
                <w:sz w:val="24"/>
                <w:szCs w:val="24"/>
              </w:rPr>
              <w:t>AA</w:t>
            </w:r>
          </w:p>
        </w:tc>
        <w:tc>
          <w:tcPr>
            <w:tcW w:w="1268" w:type="dxa"/>
            <w:tcBorders>
              <w:top w:val="single" w:sz="6" w:space="0" w:color="auto"/>
              <w:left w:val="single" w:sz="6" w:space="0" w:color="auto"/>
              <w:bottom w:val="single" w:sz="6" w:space="0" w:color="auto"/>
              <w:right w:val="single" w:sz="6" w:space="0" w:color="auto"/>
            </w:tcBorders>
            <w:vAlign w:val="center"/>
          </w:tcPr>
          <w:p w14:paraId="081D80E2"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6EE6046D"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0944B323" w14:textId="77777777" w:rsidR="000C1E0E" w:rsidRDefault="000C1E0E" w:rsidP="0098752B">
            <w:pPr>
              <w:spacing w:line="240" w:lineRule="auto"/>
              <w:jc w:val="center"/>
              <w:rPr>
                <w:sz w:val="24"/>
                <w:szCs w:val="24"/>
              </w:rPr>
            </w:pPr>
            <w:r>
              <w:rPr>
                <w:sz w:val="24"/>
                <w:szCs w:val="24"/>
              </w:rPr>
              <w:t>0,02%</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2B99063B" w14:textId="77777777" w:rsidR="000C1E0E" w:rsidRDefault="000C1E0E" w:rsidP="0098752B">
            <w:pPr>
              <w:spacing w:line="240" w:lineRule="auto"/>
              <w:jc w:val="center"/>
              <w:rPr>
                <w:sz w:val="24"/>
                <w:szCs w:val="24"/>
              </w:rPr>
            </w:pPr>
            <w:r>
              <w:rPr>
                <w:sz w:val="24"/>
                <w:szCs w:val="24"/>
              </w:rPr>
              <w:t>55%</w:t>
            </w:r>
          </w:p>
        </w:tc>
      </w:tr>
      <w:tr w:rsidR="000C1E0E" w14:paraId="2E051453"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55545A52" w14:textId="77777777" w:rsidR="000C1E0E" w:rsidRDefault="000C1E0E" w:rsidP="0098752B">
            <w:pPr>
              <w:spacing w:line="240" w:lineRule="auto"/>
              <w:jc w:val="center"/>
              <w:rPr>
                <w:sz w:val="24"/>
                <w:szCs w:val="24"/>
              </w:rPr>
            </w:pPr>
            <w:r>
              <w:rPr>
                <w:sz w:val="24"/>
                <w:szCs w:val="24"/>
              </w:rPr>
              <w:t>AA-</w:t>
            </w:r>
          </w:p>
        </w:tc>
        <w:tc>
          <w:tcPr>
            <w:tcW w:w="1346" w:type="dxa"/>
            <w:tcBorders>
              <w:top w:val="single" w:sz="6" w:space="0" w:color="auto"/>
              <w:left w:val="single" w:sz="6" w:space="0" w:color="auto"/>
              <w:bottom w:val="single" w:sz="6" w:space="0" w:color="auto"/>
              <w:right w:val="single" w:sz="6" w:space="0" w:color="auto"/>
            </w:tcBorders>
            <w:vAlign w:val="center"/>
            <w:hideMark/>
          </w:tcPr>
          <w:p w14:paraId="2019E4D7" w14:textId="77777777" w:rsidR="000C1E0E" w:rsidRDefault="000C1E0E" w:rsidP="0098752B">
            <w:pPr>
              <w:spacing w:line="240" w:lineRule="auto"/>
              <w:jc w:val="center"/>
              <w:rPr>
                <w:sz w:val="24"/>
                <w:szCs w:val="24"/>
              </w:rPr>
            </w:pPr>
            <w:r>
              <w:rPr>
                <w:sz w:val="24"/>
                <w:szCs w:val="24"/>
              </w:rPr>
              <w:t>Aa3</w:t>
            </w:r>
          </w:p>
        </w:tc>
        <w:tc>
          <w:tcPr>
            <w:tcW w:w="1326" w:type="dxa"/>
            <w:tcBorders>
              <w:top w:val="single" w:sz="6" w:space="0" w:color="auto"/>
              <w:left w:val="single" w:sz="6" w:space="0" w:color="auto"/>
              <w:bottom w:val="single" w:sz="6" w:space="0" w:color="auto"/>
              <w:right w:val="single" w:sz="6" w:space="0" w:color="auto"/>
            </w:tcBorders>
            <w:vAlign w:val="center"/>
            <w:hideMark/>
          </w:tcPr>
          <w:p w14:paraId="1C6CD8E9" w14:textId="77777777" w:rsidR="000C1E0E" w:rsidRDefault="000C1E0E" w:rsidP="0098752B">
            <w:pPr>
              <w:spacing w:line="240" w:lineRule="auto"/>
              <w:jc w:val="center"/>
              <w:rPr>
                <w:sz w:val="24"/>
                <w:szCs w:val="24"/>
              </w:rPr>
            </w:pPr>
            <w:r>
              <w:rPr>
                <w:sz w:val="24"/>
                <w:szCs w:val="24"/>
              </w:rPr>
              <w:t>AA-</w:t>
            </w:r>
          </w:p>
        </w:tc>
        <w:tc>
          <w:tcPr>
            <w:tcW w:w="1268" w:type="dxa"/>
            <w:tcBorders>
              <w:top w:val="single" w:sz="6" w:space="0" w:color="auto"/>
              <w:left w:val="single" w:sz="6" w:space="0" w:color="auto"/>
              <w:bottom w:val="single" w:sz="6" w:space="0" w:color="auto"/>
              <w:right w:val="single" w:sz="6" w:space="0" w:color="auto"/>
            </w:tcBorders>
            <w:vAlign w:val="center"/>
          </w:tcPr>
          <w:p w14:paraId="16CA1D17"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62CAC8E8"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188A460C" w14:textId="77777777" w:rsidR="000C1E0E" w:rsidRDefault="000C1E0E" w:rsidP="0098752B">
            <w:pPr>
              <w:spacing w:line="240" w:lineRule="auto"/>
              <w:jc w:val="center"/>
              <w:rPr>
                <w:sz w:val="24"/>
                <w:szCs w:val="24"/>
              </w:rPr>
            </w:pPr>
            <w:r>
              <w:rPr>
                <w:sz w:val="24"/>
                <w:szCs w:val="24"/>
              </w:rPr>
              <w:t>0,02%</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0BAE0511" w14:textId="77777777" w:rsidR="000C1E0E" w:rsidRDefault="000C1E0E" w:rsidP="0098752B">
            <w:pPr>
              <w:spacing w:line="240" w:lineRule="auto"/>
              <w:jc w:val="center"/>
              <w:rPr>
                <w:sz w:val="24"/>
                <w:szCs w:val="24"/>
              </w:rPr>
            </w:pPr>
            <w:r>
              <w:rPr>
                <w:sz w:val="24"/>
                <w:szCs w:val="24"/>
              </w:rPr>
              <w:t>55%</w:t>
            </w:r>
          </w:p>
        </w:tc>
      </w:tr>
      <w:tr w:rsidR="000C1E0E" w14:paraId="4B5A487A"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13E98201" w14:textId="77777777" w:rsidR="000C1E0E" w:rsidRDefault="000C1E0E" w:rsidP="0098752B">
            <w:pPr>
              <w:spacing w:line="240" w:lineRule="auto"/>
              <w:jc w:val="center"/>
              <w:rPr>
                <w:sz w:val="24"/>
                <w:szCs w:val="24"/>
              </w:rPr>
            </w:pPr>
            <w:r>
              <w:rPr>
                <w:sz w:val="24"/>
                <w:szCs w:val="24"/>
              </w:rPr>
              <w:t>A+</w:t>
            </w:r>
          </w:p>
        </w:tc>
        <w:tc>
          <w:tcPr>
            <w:tcW w:w="1346" w:type="dxa"/>
            <w:tcBorders>
              <w:top w:val="single" w:sz="6" w:space="0" w:color="auto"/>
              <w:left w:val="single" w:sz="6" w:space="0" w:color="auto"/>
              <w:bottom w:val="single" w:sz="6" w:space="0" w:color="auto"/>
              <w:right w:val="single" w:sz="6" w:space="0" w:color="auto"/>
            </w:tcBorders>
            <w:vAlign w:val="center"/>
            <w:hideMark/>
          </w:tcPr>
          <w:p w14:paraId="002D2FA4" w14:textId="77777777" w:rsidR="000C1E0E" w:rsidRDefault="000C1E0E" w:rsidP="0098752B">
            <w:pPr>
              <w:spacing w:line="240" w:lineRule="auto"/>
              <w:jc w:val="center"/>
              <w:rPr>
                <w:sz w:val="24"/>
                <w:szCs w:val="24"/>
              </w:rPr>
            </w:pPr>
            <w:r>
              <w:rPr>
                <w:sz w:val="24"/>
                <w:szCs w:val="24"/>
              </w:rPr>
              <w:t>A1</w:t>
            </w:r>
          </w:p>
        </w:tc>
        <w:tc>
          <w:tcPr>
            <w:tcW w:w="1326" w:type="dxa"/>
            <w:tcBorders>
              <w:top w:val="single" w:sz="6" w:space="0" w:color="auto"/>
              <w:left w:val="single" w:sz="6" w:space="0" w:color="auto"/>
              <w:bottom w:val="single" w:sz="6" w:space="0" w:color="auto"/>
              <w:right w:val="single" w:sz="6" w:space="0" w:color="auto"/>
            </w:tcBorders>
            <w:vAlign w:val="center"/>
            <w:hideMark/>
          </w:tcPr>
          <w:p w14:paraId="608960CC" w14:textId="77777777" w:rsidR="000C1E0E" w:rsidRDefault="000C1E0E" w:rsidP="0098752B">
            <w:pPr>
              <w:spacing w:line="240" w:lineRule="auto"/>
              <w:jc w:val="center"/>
              <w:rPr>
                <w:sz w:val="24"/>
                <w:szCs w:val="24"/>
              </w:rPr>
            </w:pPr>
            <w:r>
              <w:rPr>
                <w:sz w:val="24"/>
                <w:szCs w:val="24"/>
              </w:rPr>
              <w:t>A+</w:t>
            </w:r>
          </w:p>
        </w:tc>
        <w:tc>
          <w:tcPr>
            <w:tcW w:w="1268" w:type="dxa"/>
            <w:tcBorders>
              <w:top w:val="single" w:sz="6" w:space="0" w:color="auto"/>
              <w:left w:val="single" w:sz="6" w:space="0" w:color="auto"/>
              <w:bottom w:val="single" w:sz="6" w:space="0" w:color="auto"/>
              <w:right w:val="single" w:sz="6" w:space="0" w:color="auto"/>
            </w:tcBorders>
            <w:vAlign w:val="center"/>
          </w:tcPr>
          <w:p w14:paraId="11535120"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445BE069"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13BD074C" w14:textId="77777777" w:rsidR="000C1E0E" w:rsidRDefault="000C1E0E" w:rsidP="0098752B">
            <w:pPr>
              <w:spacing w:line="240" w:lineRule="auto"/>
              <w:jc w:val="center"/>
              <w:rPr>
                <w:sz w:val="24"/>
                <w:szCs w:val="24"/>
              </w:rPr>
            </w:pPr>
            <w:r>
              <w:rPr>
                <w:sz w:val="24"/>
                <w:szCs w:val="24"/>
              </w:rPr>
              <w:t>0,04%</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55CD9858" w14:textId="77777777" w:rsidR="000C1E0E" w:rsidRDefault="000C1E0E" w:rsidP="0098752B">
            <w:pPr>
              <w:spacing w:line="240" w:lineRule="auto"/>
              <w:jc w:val="center"/>
              <w:rPr>
                <w:sz w:val="24"/>
                <w:szCs w:val="24"/>
              </w:rPr>
            </w:pPr>
            <w:r>
              <w:rPr>
                <w:sz w:val="24"/>
                <w:szCs w:val="24"/>
              </w:rPr>
              <w:t>55%</w:t>
            </w:r>
          </w:p>
        </w:tc>
      </w:tr>
      <w:tr w:rsidR="000C1E0E" w14:paraId="6397B39D"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619B485C" w14:textId="77777777" w:rsidR="000C1E0E" w:rsidRDefault="000C1E0E" w:rsidP="0098752B">
            <w:pPr>
              <w:spacing w:line="240" w:lineRule="auto"/>
              <w:jc w:val="center"/>
              <w:rPr>
                <w:sz w:val="24"/>
                <w:szCs w:val="24"/>
              </w:rPr>
            </w:pPr>
            <w:r>
              <w:rPr>
                <w:sz w:val="24"/>
                <w:szCs w:val="24"/>
              </w:rPr>
              <w:t>A</w:t>
            </w:r>
          </w:p>
        </w:tc>
        <w:tc>
          <w:tcPr>
            <w:tcW w:w="1346" w:type="dxa"/>
            <w:tcBorders>
              <w:top w:val="single" w:sz="6" w:space="0" w:color="auto"/>
              <w:left w:val="single" w:sz="6" w:space="0" w:color="auto"/>
              <w:bottom w:val="single" w:sz="6" w:space="0" w:color="auto"/>
              <w:right w:val="single" w:sz="6" w:space="0" w:color="auto"/>
            </w:tcBorders>
            <w:vAlign w:val="center"/>
            <w:hideMark/>
          </w:tcPr>
          <w:p w14:paraId="1D33DBAC" w14:textId="77777777" w:rsidR="000C1E0E" w:rsidRDefault="000C1E0E" w:rsidP="0098752B">
            <w:pPr>
              <w:spacing w:line="240" w:lineRule="auto"/>
              <w:jc w:val="center"/>
              <w:rPr>
                <w:sz w:val="24"/>
                <w:szCs w:val="24"/>
              </w:rPr>
            </w:pPr>
            <w:r>
              <w:rPr>
                <w:sz w:val="24"/>
                <w:szCs w:val="24"/>
              </w:rPr>
              <w:t>A2</w:t>
            </w:r>
          </w:p>
        </w:tc>
        <w:tc>
          <w:tcPr>
            <w:tcW w:w="1326" w:type="dxa"/>
            <w:tcBorders>
              <w:top w:val="single" w:sz="6" w:space="0" w:color="auto"/>
              <w:left w:val="single" w:sz="6" w:space="0" w:color="auto"/>
              <w:bottom w:val="single" w:sz="6" w:space="0" w:color="auto"/>
              <w:right w:val="single" w:sz="6" w:space="0" w:color="auto"/>
            </w:tcBorders>
            <w:vAlign w:val="center"/>
            <w:hideMark/>
          </w:tcPr>
          <w:p w14:paraId="697F1EB0" w14:textId="77777777" w:rsidR="000C1E0E" w:rsidRDefault="000C1E0E" w:rsidP="0098752B">
            <w:pPr>
              <w:spacing w:line="240" w:lineRule="auto"/>
              <w:jc w:val="center"/>
              <w:rPr>
                <w:sz w:val="24"/>
                <w:szCs w:val="24"/>
              </w:rPr>
            </w:pPr>
            <w:r>
              <w:rPr>
                <w:sz w:val="24"/>
                <w:szCs w:val="24"/>
              </w:rPr>
              <w:t>A</w:t>
            </w:r>
          </w:p>
        </w:tc>
        <w:tc>
          <w:tcPr>
            <w:tcW w:w="1268" w:type="dxa"/>
            <w:tcBorders>
              <w:top w:val="single" w:sz="6" w:space="0" w:color="auto"/>
              <w:left w:val="single" w:sz="6" w:space="0" w:color="auto"/>
              <w:bottom w:val="single" w:sz="6" w:space="0" w:color="auto"/>
              <w:right w:val="single" w:sz="6" w:space="0" w:color="auto"/>
            </w:tcBorders>
            <w:vAlign w:val="center"/>
          </w:tcPr>
          <w:p w14:paraId="4CC93189"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5D7E2850"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4BDD7335" w14:textId="77777777" w:rsidR="000C1E0E" w:rsidRDefault="000C1E0E" w:rsidP="0098752B">
            <w:pPr>
              <w:spacing w:line="240" w:lineRule="auto"/>
              <w:jc w:val="center"/>
              <w:rPr>
                <w:sz w:val="24"/>
                <w:szCs w:val="24"/>
              </w:rPr>
            </w:pPr>
            <w:r>
              <w:rPr>
                <w:sz w:val="24"/>
                <w:szCs w:val="24"/>
              </w:rPr>
              <w:t>0,08%</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0999928C" w14:textId="77777777" w:rsidR="000C1E0E" w:rsidRDefault="000C1E0E" w:rsidP="0098752B">
            <w:pPr>
              <w:spacing w:line="240" w:lineRule="auto"/>
              <w:jc w:val="center"/>
              <w:rPr>
                <w:sz w:val="24"/>
                <w:szCs w:val="24"/>
              </w:rPr>
            </w:pPr>
            <w:r>
              <w:rPr>
                <w:sz w:val="24"/>
                <w:szCs w:val="24"/>
              </w:rPr>
              <w:t>55%</w:t>
            </w:r>
          </w:p>
        </w:tc>
      </w:tr>
      <w:tr w:rsidR="000C1E0E" w14:paraId="1507B540"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4DD27510" w14:textId="77777777" w:rsidR="000C1E0E" w:rsidRDefault="000C1E0E" w:rsidP="0098752B">
            <w:pPr>
              <w:spacing w:line="240" w:lineRule="auto"/>
              <w:jc w:val="center"/>
              <w:rPr>
                <w:sz w:val="24"/>
                <w:szCs w:val="24"/>
              </w:rPr>
            </w:pPr>
            <w:r>
              <w:rPr>
                <w:sz w:val="24"/>
                <w:szCs w:val="24"/>
              </w:rPr>
              <w:t>A-</w:t>
            </w:r>
          </w:p>
        </w:tc>
        <w:tc>
          <w:tcPr>
            <w:tcW w:w="1346" w:type="dxa"/>
            <w:tcBorders>
              <w:top w:val="single" w:sz="6" w:space="0" w:color="auto"/>
              <w:left w:val="single" w:sz="6" w:space="0" w:color="auto"/>
              <w:bottom w:val="single" w:sz="6" w:space="0" w:color="auto"/>
              <w:right w:val="single" w:sz="6" w:space="0" w:color="auto"/>
            </w:tcBorders>
            <w:vAlign w:val="center"/>
            <w:hideMark/>
          </w:tcPr>
          <w:p w14:paraId="1DE1B74A" w14:textId="77777777" w:rsidR="000C1E0E" w:rsidRDefault="000C1E0E" w:rsidP="0098752B">
            <w:pPr>
              <w:spacing w:line="240" w:lineRule="auto"/>
              <w:jc w:val="center"/>
              <w:rPr>
                <w:sz w:val="24"/>
                <w:szCs w:val="24"/>
              </w:rPr>
            </w:pPr>
            <w:r>
              <w:rPr>
                <w:sz w:val="24"/>
                <w:szCs w:val="24"/>
              </w:rPr>
              <w:t>A3</w:t>
            </w:r>
          </w:p>
        </w:tc>
        <w:tc>
          <w:tcPr>
            <w:tcW w:w="1326" w:type="dxa"/>
            <w:tcBorders>
              <w:top w:val="single" w:sz="6" w:space="0" w:color="auto"/>
              <w:left w:val="single" w:sz="6" w:space="0" w:color="auto"/>
              <w:bottom w:val="single" w:sz="6" w:space="0" w:color="auto"/>
              <w:right w:val="single" w:sz="6" w:space="0" w:color="auto"/>
            </w:tcBorders>
            <w:vAlign w:val="center"/>
            <w:hideMark/>
          </w:tcPr>
          <w:p w14:paraId="77414881" w14:textId="77777777" w:rsidR="000C1E0E" w:rsidRDefault="000C1E0E" w:rsidP="0098752B">
            <w:pPr>
              <w:spacing w:line="240" w:lineRule="auto"/>
              <w:jc w:val="center"/>
              <w:rPr>
                <w:sz w:val="24"/>
                <w:szCs w:val="24"/>
              </w:rPr>
            </w:pPr>
            <w:r>
              <w:rPr>
                <w:sz w:val="24"/>
                <w:szCs w:val="24"/>
              </w:rPr>
              <w:t>A-</w:t>
            </w:r>
          </w:p>
        </w:tc>
        <w:tc>
          <w:tcPr>
            <w:tcW w:w="1268" w:type="dxa"/>
            <w:tcBorders>
              <w:top w:val="single" w:sz="6" w:space="0" w:color="auto"/>
              <w:left w:val="single" w:sz="6" w:space="0" w:color="auto"/>
              <w:bottom w:val="single" w:sz="6" w:space="0" w:color="auto"/>
              <w:right w:val="single" w:sz="6" w:space="0" w:color="auto"/>
            </w:tcBorders>
            <w:vAlign w:val="center"/>
          </w:tcPr>
          <w:p w14:paraId="1E8766AA"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4B7A4D84"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2DFC9EEA" w14:textId="77777777" w:rsidR="000C1E0E" w:rsidRDefault="000C1E0E" w:rsidP="0098752B">
            <w:pPr>
              <w:spacing w:line="240" w:lineRule="auto"/>
              <w:jc w:val="center"/>
              <w:rPr>
                <w:sz w:val="24"/>
                <w:szCs w:val="24"/>
              </w:rPr>
            </w:pPr>
            <w:r>
              <w:rPr>
                <w:sz w:val="24"/>
                <w:szCs w:val="24"/>
              </w:rPr>
              <w:t>0,08%</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4F69484E" w14:textId="77777777" w:rsidR="000C1E0E" w:rsidRDefault="000C1E0E" w:rsidP="0098752B">
            <w:pPr>
              <w:spacing w:line="240" w:lineRule="auto"/>
              <w:jc w:val="center"/>
              <w:rPr>
                <w:sz w:val="24"/>
                <w:szCs w:val="24"/>
              </w:rPr>
            </w:pPr>
            <w:r>
              <w:rPr>
                <w:sz w:val="24"/>
                <w:szCs w:val="24"/>
              </w:rPr>
              <w:t>55%</w:t>
            </w:r>
          </w:p>
        </w:tc>
      </w:tr>
      <w:tr w:rsidR="000C1E0E" w14:paraId="6A598775"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63C114B7" w14:textId="77777777" w:rsidR="000C1E0E" w:rsidRDefault="000C1E0E" w:rsidP="0098752B">
            <w:pPr>
              <w:spacing w:line="240" w:lineRule="auto"/>
              <w:jc w:val="center"/>
              <w:rPr>
                <w:sz w:val="24"/>
                <w:szCs w:val="24"/>
              </w:rPr>
            </w:pPr>
            <w:r>
              <w:rPr>
                <w:sz w:val="24"/>
                <w:szCs w:val="24"/>
              </w:rPr>
              <w:t>BBB+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0144A0BA" w14:textId="77777777" w:rsidR="000C1E0E" w:rsidRDefault="000C1E0E" w:rsidP="0098752B">
            <w:pPr>
              <w:spacing w:line="240" w:lineRule="auto"/>
              <w:jc w:val="center"/>
              <w:rPr>
                <w:sz w:val="24"/>
                <w:szCs w:val="24"/>
              </w:rPr>
            </w:pPr>
            <w:r>
              <w:rPr>
                <w:sz w:val="24"/>
                <w:szCs w:val="24"/>
              </w:rPr>
              <w:t>Baa1</w:t>
            </w:r>
          </w:p>
        </w:tc>
        <w:tc>
          <w:tcPr>
            <w:tcW w:w="1326" w:type="dxa"/>
            <w:tcBorders>
              <w:top w:val="single" w:sz="6" w:space="0" w:color="auto"/>
              <w:left w:val="single" w:sz="6" w:space="0" w:color="auto"/>
              <w:bottom w:val="single" w:sz="6" w:space="0" w:color="auto"/>
              <w:right w:val="single" w:sz="6" w:space="0" w:color="auto"/>
            </w:tcBorders>
            <w:vAlign w:val="center"/>
            <w:hideMark/>
          </w:tcPr>
          <w:p w14:paraId="40D6B6CB" w14:textId="77777777" w:rsidR="000C1E0E" w:rsidRDefault="000C1E0E" w:rsidP="0098752B">
            <w:pPr>
              <w:spacing w:line="240" w:lineRule="auto"/>
              <w:jc w:val="center"/>
              <w:rPr>
                <w:sz w:val="24"/>
                <w:szCs w:val="24"/>
              </w:rPr>
            </w:pPr>
            <w:r>
              <w:rPr>
                <w:sz w:val="24"/>
                <w:szCs w:val="24"/>
              </w:rPr>
              <w:t>BBB+</w:t>
            </w:r>
          </w:p>
        </w:tc>
        <w:tc>
          <w:tcPr>
            <w:tcW w:w="1268" w:type="dxa"/>
            <w:tcBorders>
              <w:top w:val="single" w:sz="6" w:space="0" w:color="auto"/>
              <w:left w:val="single" w:sz="6" w:space="0" w:color="auto"/>
              <w:bottom w:val="single" w:sz="6" w:space="0" w:color="auto"/>
              <w:right w:val="single" w:sz="6" w:space="0" w:color="auto"/>
            </w:tcBorders>
            <w:vAlign w:val="center"/>
          </w:tcPr>
          <w:p w14:paraId="082F5E92"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1C4BB74C"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1FC39130" w14:textId="77777777" w:rsidR="000C1E0E" w:rsidRDefault="000C1E0E" w:rsidP="0098752B">
            <w:pPr>
              <w:spacing w:line="240" w:lineRule="auto"/>
              <w:jc w:val="center"/>
              <w:rPr>
                <w:sz w:val="24"/>
                <w:szCs w:val="24"/>
              </w:rPr>
            </w:pPr>
            <w:r>
              <w:rPr>
                <w:sz w:val="24"/>
                <w:szCs w:val="24"/>
              </w:rPr>
              <w:t>0,16%</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2CA5A938" w14:textId="77777777" w:rsidR="000C1E0E" w:rsidRDefault="000C1E0E" w:rsidP="0098752B">
            <w:pPr>
              <w:spacing w:line="240" w:lineRule="auto"/>
              <w:jc w:val="center"/>
              <w:rPr>
                <w:sz w:val="24"/>
                <w:szCs w:val="24"/>
              </w:rPr>
            </w:pPr>
            <w:r>
              <w:rPr>
                <w:sz w:val="24"/>
                <w:szCs w:val="24"/>
              </w:rPr>
              <w:t>55%</w:t>
            </w:r>
          </w:p>
        </w:tc>
      </w:tr>
      <w:tr w:rsidR="000C1E0E" w14:paraId="282CEBCA"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07AE839A" w14:textId="77777777" w:rsidR="000C1E0E" w:rsidRDefault="000C1E0E" w:rsidP="0098752B">
            <w:pPr>
              <w:spacing w:line="240" w:lineRule="auto"/>
              <w:jc w:val="center"/>
              <w:rPr>
                <w:sz w:val="24"/>
                <w:szCs w:val="24"/>
              </w:rPr>
            </w:pPr>
            <w:r>
              <w:rPr>
                <w:sz w:val="24"/>
                <w:szCs w:val="24"/>
              </w:rPr>
              <w:t>BBB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4CFB543B" w14:textId="77777777" w:rsidR="000C1E0E" w:rsidRDefault="000C1E0E" w:rsidP="0098752B">
            <w:pPr>
              <w:spacing w:line="240" w:lineRule="auto"/>
              <w:jc w:val="center"/>
              <w:rPr>
                <w:sz w:val="24"/>
                <w:szCs w:val="24"/>
              </w:rPr>
            </w:pPr>
            <w:r>
              <w:rPr>
                <w:sz w:val="24"/>
                <w:szCs w:val="24"/>
              </w:rPr>
              <w:t>Baa2</w:t>
            </w:r>
          </w:p>
        </w:tc>
        <w:tc>
          <w:tcPr>
            <w:tcW w:w="1326" w:type="dxa"/>
            <w:tcBorders>
              <w:top w:val="single" w:sz="6" w:space="0" w:color="auto"/>
              <w:left w:val="single" w:sz="6" w:space="0" w:color="auto"/>
              <w:bottom w:val="single" w:sz="6" w:space="0" w:color="auto"/>
              <w:right w:val="single" w:sz="6" w:space="0" w:color="auto"/>
            </w:tcBorders>
            <w:vAlign w:val="center"/>
            <w:hideMark/>
          </w:tcPr>
          <w:p w14:paraId="60DB387E" w14:textId="77777777" w:rsidR="000C1E0E" w:rsidRDefault="000C1E0E" w:rsidP="0098752B">
            <w:pPr>
              <w:spacing w:line="240" w:lineRule="auto"/>
              <w:jc w:val="center"/>
              <w:rPr>
                <w:sz w:val="24"/>
                <w:szCs w:val="24"/>
              </w:rPr>
            </w:pPr>
            <w:r>
              <w:rPr>
                <w:sz w:val="24"/>
                <w:szCs w:val="24"/>
              </w:rPr>
              <w:t>BBB</w:t>
            </w:r>
          </w:p>
        </w:tc>
        <w:tc>
          <w:tcPr>
            <w:tcW w:w="1268" w:type="dxa"/>
            <w:tcBorders>
              <w:top w:val="single" w:sz="6" w:space="0" w:color="auto"/>
              <w:left w:val="single" w:sz="6" w:space="0" w:color="auto"/>
              <w:bottom w:val="single" w:sz="6" w:space="0" w:color="auto"/>
              <w:right w:val="single" w:sz="6" w:space="0" w:color="auto"/>
            </w:tcBorders>
            <w:vAlign w:val="center"/>
          </w:tcPr>
          <w:p w14:paraId="55132A8A"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5B53D822"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3A976EB0" w14:textId="77777777" w:rsidR="000C1E0E" w:rsidRDefault="000C1E0E" w:rsidP="0098752B">
            <w:pPr>
              <w:spacing w:line="240" w:lineRule="auto"/>
              <w:jc w:val="center"/>
              <w:rPr>
                <w:sz w:val="24"/>
                <w:szCs w:val="24"/>
              </w:rPr>
            </w:pPr>
            <w:r>
              <w:rPr>
                <w:sz w:val="24"/>
                <w:szCs w:val="24"/>
              </w:rPr>
              <w:t>0,32%</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5E7E23B6" w14:textId="77777777" w:rsidR="000C1E0E" w:rsidRDefault="000C1E0E" w:rsidP="0098752B">
            <w:pPr>
              <w:spacing w:line="240" w:lineRule="auto"/>
              <w:jc w:val="center"/>
              <w:rPr>
                <w:sz w:val="24"/>
                <w:szCs w:val="24"/>
              </w:rPr>
            </w:pPr>
            <w:r>
              <w:rPr>
                <w:sz w:val="24"/>
                <w:szCs w:val="24"/>
              </w:rPr>
              <w:t>55%</w:t>
            </w:r>
          </w:p>
        </w:tc>
      </w:tr>
      <w:tr w:rsidR="000C1E0E" w14:paraId="62AE182C"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5E5E62B9" w14:textId="77777777" w:rsidR="000C1E0E" w:rsidRDefault="000C1E0E" w:rsidP="0098752B">
            <w:pPr>
              <w:spacing w:line="240" w:lineRule="auto"/>
              <w:jc w:val="center"/>
              <w:rPr>
                <w:sz w:val="24"/>
                <w:szCs w:val="24"/>
              </w:rPr>
            </w:pPr>
            <w:r>
              <w:rPr>
                <w:sz w:val="24"/>
                <w:szCs w:val="24"/>
              </w:rPr>
              <w:t>BBB-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65FE31D7" w14:textId="77777777" w:rsidR="000C1E0E" w:rsidRDefault="000C1E0E" w:rsidP="0098752B">
            <w:pPr>
              <w:spacing w:line="240" w:lineRule="auto"/>
              <w:jc w:val="center"/>
              <w:rPr>
                <w:sz w:val="24"/>
                <w:szCs w:val="24"/>
              </w:rPr>
            </w:pPr>
            <w:r>
              <w:rPr>
                <w:sz w:val="24"/>
                <w:szCs w:val="24"/>
              </w:rPr>
              <w:t>Baa3</w:t>
            </w:r>
          </w:p>
        </w:tc>
        <w:tc>
          <w:tcPr>
            <w:tcW w:w="1326" w:type="dxa"/>
            <w:tcBorders>
              <w:top w:val="single" w:sz="6" w:space="0" w:color="auto"/>
              <w:left w:val="single" w:sz="6" w:space="0" w:color="auto"/>
              <w:bottom w:val="single" w:sz="6" w:space="0" w:color="auto"/>
              <w:right w:val="single" w:sz="6" w:space="0" w:color="auto"/>
            </w:tcBorders>
            <w:vAlign w:val="center"/>
            <w:hideMark/>
          </w:tcPr>
          <w:p w14:paraId="63CAEEC1" w14:textId="77777777" w:rsidR="000C1E0E" w:rsidRDefault="000C1E0E" w:rsidP="0098752B">
            <w:pPr>
              <w:spacing w:line="240" w:lineRule="auto"/>
              <w:jc w:val="center"/>
              <w:rPr>
                <w:sz w:val="24"/>
                <w:szCs w:val="24"/>
              </w:rPr>
            </w:pPr>
            <w:r>
              <w:rPr>
                <w:sz w:val="24"/>
                <w:szCs w:val="24"/>
              </w:rPr>
              <w:t>BBB-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7B36404B" w14:textId="77777777" w:rsidR="000C1E0E" w:rsidRDefault="000C1E0E" w:rsidP="0098752B">
            <w:pPr>
              <w:spacing w:line="240" w:lineRule="auto"/>
              <w:jc w:val="center"/>
              <w:rPr>
                <w:sz w:val="24"/>
                <w:szCs w:val="24"/>
              </w:rPr>
            </w:pPr>
            <w:r>
              <w:rPr>
                <w:sz w:val="24"/>
                <w:szCs w:val="24"/>
              </w:rPr>
              <w:t>ruAAA</w:t>
            </w:r>
          </w:p>
        </w:tc>
        <w:tc>
          <w:tcPr>
            <w:tcW w:w="1268" w:type="dxa"/>
            <w:tcBorders>
              <w:top w:val="single" w:sz="6" w:space="0" w:color="auto"/>
              <w:left w:val="single" w:sz="6" w:space="0" w:color="auto"/>
              <w:bottom w:val="single" w:sz="6" w:space="0" w:color="auto"/>
              <w:right w:val="single" w:sz="6" w:space="0" w:color="auto"/>
            </w:tcBorders>
            <w:vAlign w:val="center"/>
            <w:hideMark/>
          </w:tcPr>
          <w:p w14:paraId="6B4D89CF" w14:textId="77777777" w:rsidR="000C1E0E" w:rsidRDefault="000C1E0E" w:rsidP="0098752B">
            <w:pPr>
              <w:spacing w:line="240" w:lineRule="auto"/>
              <w:jc w:val="center"/>
              <w:rPr>
                <w:sz w:val="24"/>
                <w:szCs w:val="24"/>
              </w:rPr>
            </w:pPr>
            <w:r>
              <w:rPr>
                <w:sz w:val="24"/>
                <w:szCs w:val="24"/>
              </w:rPr>
              <w:t>AAA(RU)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18ACC11D" w14:textId="77777777" w:rsidR="000C1E0E" w:rsidRDefault="000C1E0E" w:rsidP="0098752B">
            <w:pPr>
              <w:spacing w:line="240" w:lineRule="auto"/>
              <w:jc w:val="center"/>
              <w:rPr>
                <w:sz w:val="24"/>
                <w:szCs w:val="24"/>
              </w:rPr>
            </w:pPr>
            <w:r>
              <w:rPr>
                <w:sz w:val="24"/>
                <w:szCs w:val="24"/>
              </w:rPr>
              <w:t>0,32%</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36793334" w14:textId="77777777" w:rsidR="000C1E0E" w:rsidRDefault="000C1E0E" w:rsidP="0098752B">
            <w:pPr>
              <w:spacing w:line="240" w:lineRule="auto"/>
              <w:jc w:val="center"/>
              <w:rPr>
                <w:sz w:val="24"/>
                <w:szCs w:val="24"/>
              </w:rPr>
            </w:pPr>
            <w:r>
              <w:rPr>
                <w:sz w:val="24"/>
                <w:szCs w:val="24"/>
              </w:rPr>
              <w:t>55%</w:t>
            </w:r>
          </w:p>
        </w:tc>
      </w:tr>
      <w:tr w:rsidR="000C1E0E" w14:paraId="74C6C3CB"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4BE2385C" w14:textId="77777777" w:rsidR="000C1E0E" w:rsidRDefault="000C1E0E" w:rsidP="0098752B">
            <w:pPr>
              <w:spacing w:line="240" w:lineRule="auto"/>
              <w:jc w:val="center"/>
              <w:rPr>
                <w:sz w:val="24"/>
                <w:szCs w:val="24"/>
              </w:rPr>
            </w:pPr>
            <w:r>
              <w:rPr>
                <w:sz w:val="24"/>
                <w:szCs w:val="24"/>
              </w:rPr>
              <w:t>BB+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4098FC3C" w14:textId="77777777" w:rsidR="000C1E0E" w:rsidRDefault="000C1E0E" w:rsidP="0098752B">
            <w:pPr>
              <w:spacing w:line="240" w:lineRule="auto"/>
              <w:jc w:val="center"/>
              <w:rPr>
                <w:sz w:val="24"/>
                <w:szCs w:val="24"/>
              </w:rPr>
            </w:pPr>
            <w:r>
              <w:rPr>
                <w:sz w:val="24"/>
                <w:szCs w:val="24"/>
              </w:rPr>
              <w:t>Ba1</w:t>
            </w:r>
          </w:p>
        </w:tc>
        <w:tc>
          <w:tcPr>
            <w:tcW w:w="1326" w:type="dxa"/>
            <w:tcBorders>
              <w:top w:val="single" w:sz="6" w:space="0" w:color="auto"/>
              <w:left w:val="single" w:sz="6" w:space="0" w:color="auto"/>
              <w:bottom w:val="single" w:sz="6" w:space="0" w:color="auto"/>
              <w:right w:val="single" w:sz="6" w:space="0" w:color="auto"/>
            </w:tcBorders>
            <w:vAlign w:val="center"/>
            <w:hideMark/>
          </w:tcPr>
          <w:p w14:paraId="48116955" w14:textId="77777777" w:rsidR="000C1E0E" w:rsidRDefault="000C1E0E" w:rsidP="0098752B">
            <w:pPr>
              <w:spacing w:line="240" w:lineRule="auto"/>
              <w:jc w:val="center"/>
              <w:rPr>
                <w:sz w:val="24"/>
                <w:szCs w:val="24"/>
              </w:rPr>
            </w:pPr>
            <w:r>
              <w:rPr>
                <w:sz w:val="24"/>
                <w:szCs w:val="24"/>
              </w:rPr>
              <w:t>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5F02AC0E" w14:textId="77777777" w:rsidR="000C1E0E" w:rsidRDefault="000C1E0E" w:rsidP="0098752B">
            <w:pPr>
              <w:spacing w:line="240" w:lineRule="auto"/>
              <w:jc w:val="center"/>
              <w:rPr>
                <w:sz w:val="24"/>
                <w:szCs w:val="24"/>
              </w:rPr>
            </w:pPr>
            <w:r>
              <w:rPr>
                <w:sz w:val="24"/>
                <w:szCs w:val="24"/>
              </w:rPr>
              <w:t>ruAA+, ruAA</w:t>
            </w:r>
          </w:p>
        </w:tc>
        <w:tc>
          <w:tcPr>
            <w:tcW w:w="1268" w:type="dxa"/>
            <w:tcBorders>
              <w:top w:val="single" w:sz="6" w:space="0" w:color="auto"/>
              <w:left w:val="single" w:sz="6" w:space="0" w:color="auto"/>
              <w:bottom w:val="single" w:sz="6" w:space="0" w:color="auto"/>
              <w:right w:val="single" w:sz="6" w:space="0" w:color="auto"/>
            </w:tcBorders>
            <w:vAlign w:val="center"/>
            <w:hideMark/>
          </w:tcPr>
          <w:p w14:paraId="048F8E8C" w14:textId="77777777" w:rsidR="000C1E0E" w:rsidRDefault="000C1E0E" w:rsidP="0098752B">
            <w:pPr>
              <w:spacing w:line="240" w:lineRule="auto"/>
              <w:jc w:val="center"/>
              <w:rPr>
                <w:sz w:val="24"/>
                <w:szCs w:val="24"/>
                <w:lang w:val="en-US"/>
              </w:rPr>
            </w:pPr>
            <w:r>
              <w:rPr>
                <w:sz w:val="24"/>
                <w:szCs w:val="24"/>
                <w:lang w:val="en-US"/>
              </w:rPr>
              <w:t>AA+(RU), AA(RU), AA-(RU)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125C5532" w14:textId="77777777" w:rsidR="000C1E0E" w:rsidRDefault="000C1E0E" w:rsidP="0098752B">
            <w:pPr>
              <w:spacing w:line="240" w:lineRule="auto"/>
              <w:jc w:val="center"/>
              <w:rPr>
                <w:sz w:val="24"/>
                <w:szCs w:val="24"/>
              </w:rPr>
            </w:pPr>
            <w:r>
              <w:rPr>
                <w:sz w:val="24"/>
                <w:szCs w:val="24"/>
              </w:rPr>
              <w:t>0,58%</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7B3D2BD0" w14:textId="77777777" w:rsidR="000C1E0E" w:rsidRDefault="000C1E0E" w:rsidP="0098752B">
            <w:pPr>
              <w:spacing w:line="240" w:lineRule="auto"/>
              <w:jc w:val="center"/>
              <w:rPr>
                <w:sz w:val="24"/>
                <w:szCs w:val="24"/>
              </w:rPr>
            </w:pPr>
            <w:r>
              <w:rPr>
                <w:sz w:val="24"/>
                <w:szCs w:val="24"/>
              </w:rPr>
              <w:t>55%</w:t>
            </w:r>
          </w:p>
        </w:tc>
      </w:tr>
      <w:tr w:rsidR="000C1E0E" w14:paraId="759EEEA5"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08523EE8" w14:textId="77777777" w:rsidR="000C1E0E" w:rsidRDefault="000C1E0E" w:rsidP="0098752B">
            <w:pPr>
              <w:spacing w:line="240" w:lineRule="auto"/>
              <w:jc w:val="center"/>
              <w:rPr>
                <w:sz w:val="24"/>
                <w:szCs w:val="24"/>
              </w:rPr>
            </w:pPr>
            <w:r>
              <w:rPr>
                <w:sz w:val="24"/>
                <w:szCs w:val="24"/>
              </w:rPr>
              <w:t>BB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5643FD02" w14:textId="77777777" w:rsidR="000C1E0E" w:rsidRDefault="000C1E0E" w:rsidP="0098752B">
            <w:pPr>
              <w:spacing w:line="240" w:lineRule="auto"/>
              <w:jc w:val="center"/>
              <w:rPr>
                <w:sz w:val="24"/>
                <w:szCs w:val="24"/>
              </w:rPr>
            </w:pPr>
            <w:r>
              <w:rPr>
                <w:sz w:val="24"/>
                <w:szCs w:val="24"/>
              </w:rPr>
              <w:t>Ba2</w:t>
            </w:r>
          </w:p>
        </w:tc>
        <w:tc>
          <w:tcPr>
            <w:tcW w:w="1326" w:type="dxa"/>
            <w:tcBorders>
              <w:top w:val="single" w:sz="6" w:space="0" w:color="auto"/>
              <w:left w:val="single" w:sz="6" w:space="0" w:color="auto"/>
              <w:bottom w:val="single" w:sz="6" w:space="0" w:color="auto"/>
              <w:right w:val="single" w:sz="6" w:space="0" w:color="auto"/>
            </w:tcBorders>
            <w:vAlign w:val="center"/>
            <w:hideMark/>
          </w:tcPr>
          <w:p w14:paraId="094E0E72" w14:textId="77777777" w:rsidR="000C1E0E" w:rsidRDefault="000C1E0E" w:rsidP="0098752B">
            <w:pPr>
              <w:spacing w:line="240" w:lineRule="auto"/>
              <w:jc w:val="center"/>
              <w:rPr>
                <w:sz w:val="24"/>
                <w:szCs w:val="24"/>
              </w:rPr>
            </w:pPr>
            <w:r>
              <w:rPr>
                <w:sz w:val="24"/>
                <w:szCs w:val="24"/>
              </w:rPr>
              <w:t>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128CE14A" w14:textId="77777777" w:rsidR="000C1E0E" w:rsidRDefault="000C1E0E" w:rsidP="0098752B">
            <w:pPr>
              <w:spacing w:line="240" w:lineRule="auto"/>
              <w:jc w:val="center"/>
              <w:rPr>
                <w:sz w:val="24"/>
                <w:szCs w:val="24"/>
              </w:rPr>
            </w:pPr>
            <w:r>
              <w:rPr>
                <w:sz w:val="24"/>
                <w:szCs w:val="24"/>
              </w:rPr>
              <w:t>ruAA-, ruA+</w:t>
            </w:r>
          </w:p>
        </w:tc>
        <w:tc>
          <w:tcPr>
            <w:tcW w:w="1268" w:type="dxa"/>
            <w:tcBorders>
              <w:top w:val="single" w:sz="6" w:space="0" w:color="auto"/>
              <w:left w:val="single" w:sz="6" w:space="0" w:color="auto"/>
              <w:bottom w:val="single" w:sz="6" w:space="0" w:color="auto"/>
              <w:right w:val="single" w:sz="6" w:space="0" w:color="auto"/>
            </w:tcBorders>
            <w:vAlign w:val="center"/>
            <w:hideMark/>
          </w:tcPr>
          <w:p w14:paraId="41AB9E5D" w14:textId="77777777" w:rsidR="000C1E0E" w:rsidRDefault="000C1E0E" w:rsidP="0098752B">
            <w:pPr>
              <w:spacing w:line="240" w:lineRule="auto"/>
              <w:jc w:val="center"/>
              <w:rPr>
                <w:sz w:val="24"/>
                <w:szCs w:val="24"/>
              </w:rPr>
            </w:pPr>
            <w:r>
              <w:rPr>
                <w:sz w:val="24"/>
                <w:szCs w:val="24"/>
              </w:rPr>
              <w:t>A+(RU), A(RU)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6FE71E63" w14:textId="77777777" w:rsidR="000C1E0E" w:rsidRDefault="000C1E0E" w:rsidP="0098752B">
            <w:pPr>
              <w:spacing w:line="240" w:lineRule="auto"/>
              <w:jc w:val="center"/>
              <w:rPr>
                <w:sz w:val="24"/>
                <w:szCs w:val="24"/>
              </w:rPr>
            </w:pPr>
            <w:r>
              <w:rPr>
                <w:sz w:val="24"/>
                <w:szCs w:val="24"/>
              </w:rPr>
              <w:t>0,96%</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1085BC8C" w14:textId="77777777" w:rsidR="000C1E0E" w:rsidRDefault="000C1E0E" w:rsidP="0098752B">
            <w:pPr>
              <w:spacing w:line="240" w:lineRule="auto"/>
              <w:jc w:val="center"/>
              <w:rPr>
                <w:sz w:val="24"/>
                <w:szCs w:val="24"/>
              </w:rPr>
            </w:pPr>
            <w:r>
              <w:rPr>
                <w:sz w:val="24"/>
                <w:szCs w:val="24"/>
              </w:rPr>
              <w:t>55%</w:t>
            </w:r>
          </w:p>
        </w:tc>
      </w:tr>
      <w:tr w:rsidR="000C1E0E" w14:paraId="6BEEFF07"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6D361B16" w14:textId="77777777" w:rsidR="000C1E0E" w:rsidRDefault="000C1E0E" w:rsidP="0098752B">
            <w:pPr>
              <w:spacing w:line="240" w:lineRule="auto"/>
              <w:jc w:val="center"/>
              <w:rPr>
                <w:sz w:val="24"/>
                <w:szCs w:val="24"/>
              </w:rPr>
            </w:pPr>
            <w:r>
              <w:rPr>
                <w:sz w:val="24"/>
                <w:szCs w:val="24"/>
              </w:rPr>
              <w:t>BB-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4FBA1174" w14:textId="77777777" w:rsidR="000C1E0E" w:rsidRDefault="000C1E0E" w:rsidP="0098752B">
            <w:pPr>
              <w:spacing w:line="240" w:lineRule="auto"/>
              <w:jc w:val="center"/>
              <w:rPr>
                <w:sz w:val="24"/>
                <w:szCs w:val="24"/>
              </w:rPr>
            </w:pPr>
            <w:r>
              <w:rPr>
                <w:sz w:val="24"/>
                <w:szCs w:val="24"/>
              </w:rPr>
              <w:t>Ba3</w:t>
            </w:r>
          </w:p>
        </w:tc>
        <w:tc>
          <w:tcPr>
            <w:tcW w:w="1326" w:type="dxa"/>
            <w:tcBorders>
              <w:top w:val="single" w:sz="6" w:space="0" w:color="auto"/>
              <w:left w:val="single" w:sz="6" w:space="0" w:color="auto"/>
              <w:bottom w:val="single" w:sz="6" w:space="0" w:color="auto"/>
              <w:right w:val="single" w:sz="6" w:space="0" w:color="auto"/>
            </w:tcBorders>
            <w:vAlign w:val="center"/>
            <w:hideMark/>
          </w:tcPr>
          <w:p w14:paraId="303C6FB9" w14:textId="77777777" w:rsidR="000C1E0E" w:rsidRDefault="000C1E0E" w:rsidP="0098752B">
            <w:pPr>
              <w:spacing w:line="240" w:lineRule="auto"/>
              <w:jc w:val="center"/>
              <w:rPr>
                <w:sz w:val="24"/>
                <w:szCs w:val="24"/>
              </w:rPr>
            </w:pPr>
            <w:r>
              <w:rPr>
                <w:sz w:val="24"/>
                <w:szCs w:val="24"/>
              </w:rPr>
              <w:t>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1996EB38" w14:textId="77777777" w:rsidR="000C1E0E" w:rsidRDefault="000C1E0E" w:rsidP="0098752B">
            <w:pPr>
              <w:spacing w:line="240" w:lineRule="auto"/>
              <w:jc w:val="center"/>
              <w:rPr>
                <w:sz w:val="24"/>
                <w:szCs w:val="24"/>
              </w:rPr>
            </w:pPr>
            <w:r>
              <w:rPr>
                <w:sz w:val="24"/>
                <w:szCs w:val="24"/>
              </w:rPr>
              <w:t>ruA, ruA-, ruBBB+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4DCA831B" w14:textId="77777777" w:rsidR="000C1E0E" w:rsidRDefault="000C1E0E" w:rsidP="0098752B">
            <w:pPr>
              <w:spacing w:line="240" w:lineRule="auto"/>
              <w:jc w:val="center"/>
              <w:rPr>
                <w:sz w:val="24"/>
                <w:szCs w:val="24"/>
              </w:rPr>
            </w:pPr>
            <w:r>
              <w:rPr>
                <w:sz w:val="24"/>
                <w:szCs w:val="24"/>
              </w:rPr>
              <w:t>A-(RU), BBB+(RU)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6D1492C0" w14:textId="77777777" w:rsidR="000C1E0E" w:rsidRDefault="000C1E0E" w:rsidP="0098752B">
            <w:pPr>
              <w:spacing w:line="240" w:lineRule="auto"/>
              <w:jc w:val="center"/>
              <w:rPr>
                <w:sz w:val="24"/>
                <w:szCs w:val="24"/>
              </w:rPr>
            </w:pPr>
            <w:r>
              <w:rPr>
                <w:sz w:val="24"/>
                <w:szCs w:val="24"/>
              </w:rPr>
              <w:t>1,58%</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494EB7D3" w14:textId="77777777" w:rsidR="000C1E0E" w:rsidRDefault="000C1E0E" w:rsidP="0098752B">
            <w:pPr>
              <w:spacing w:line="240" w:lineRule="auto"/>
              <w:jc w:val="center"/>
              <w:rPr>
                <w:sz w:val="24"/>
                <w:szCs w:val="24"/>
              </w:rPr>
            </w:pPr>
            <w:r>
              <w:rPr>
                <w:sz w:val="24"/>
                <w:szCs w:val="24"/>
              </w:rPr>
              <w:t>55%</w:t>
            </w:r>
          </w:p>
        </w:tc>
      </w:tr>
      <w:tr w:rsidR="000C1E0E" w14:paraId="7D747387"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4ABAA687" w14:textId="77777777" w:rsidR="000C1E0E" w:rsidRDefault="000C1E0E" w:rsidP="0098752B">
            <w:pPr>
              <w:spacing w:line="240" w:lineRule="auto"/>
              <w:jc w:val="center"/>
              <w:rPr>
                <w:sz w:val="24"/>
                <w:szCs w:val="24"/>
              </w:rPr>
            </w:pPr>
            <w:r>
              <w:rPr>
                <w:sz w:val="24"/>
                <w:szCs w:val="24"/>
              </w:rPr>
              <w:t>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759373F6" w14:textId="77777777" w:rsidR="000C1E0E" w:rsidRDefault="000C1E0E" w:rsidP="0098752B">
            <w:pPr>
              <w:spacing w:line="240" w:lineRule="auto"/>
              <w:jc w:val="center"/>
              <w:rPr>
                <w:sz w:val="24"/>
                <w:szCs w:val="24"/>
              </w:rPr>
            </w:pPr>
            <w:r>
              <w:rPr>
                <w:sz w:val="24"/>
                <w:szCs w:val="24"/>
              </w:rPr>
              <w:t>B1</w:t>
            </w:r>
          </w:p>
        </w:tc>
        <w:tc>
          <w:tcPr>
            <w:tcW w:w="1326" w:type="dxa"/>
            <w:tcBorders>
              <w:top w:val="single" w:sz="6" w:space="0" w:color="auto"/>
              <w:left w:val="single" w:sz="6" w:space="0" w:color="auto"/>
              <w:bottom w:val="single" w:sz="6" w:space="0" w:color="auto"/>
              <w:right w:val="single" w:sz="6" w:space="0" w:color="auto"/>
            </w:tcBorders>
            <w:vAlign w:val="center"/>
            <w:hideMark/>
          </w:tcPr>
          <w:p w14:paraId="34D4AC4A" w14:textId="77777777" w:rsidR="000C1E0E" w:rsidRDefault="000C1E0E" w:rsidP="0098752B">
            <w:pPr>
              <w:spacing w:line="240" w:lineRule="auto"/>
              <w:jc w:val="center"/>
              <w:rPr>
                <w:sz w:val="24"/>
                <w:szCs w:val="24"/>
              </w:rPr>
            </w:pPr>
            <w:r>
              <w:rPr>
                <w:sz w:val="24"/>
                <w:szCs w:val="24"/>
              </w:rPr>
              <w:t>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5DE25964" w14:textId="77777777" w:rsidR="000C1E0E" w:rsidRDefault="000C1E0E" w:rsidP="0098752B">
            <w:pPr>
              <w:spacing w:line="240" w:lineRule="auto"/>
              <w:jc w:val="center"/>
              <w:rPr>
                <w:sz w:val="24"/>
                <w:szCs w:val="24"/>
              </w:rPr>
            </w:pPr>
            <w:r>
              <w:rPr>
                <w:sz w:val="24"/>
                <w:szCs w:val="24"/>
              </w:rPr>
              <w:t>ruBBB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4F8C283F" w14:textId="77777777" w:rsidR="000C1E0E" w:rsidRDefault="000C1E0E" w:rsidP="0098752B">
            <w:pPr>
              <w:spacing w:line="240" w:lineRule="auto"/>
              <w:jc w:val="center"/>
              <w:rPr>
                <w:sz w:val="24"/>
                <w:szCs w:val="24"/>
              </w:rPr>
            </w:pPr>
            <w:r>
              <w:rPr>
                <w:sz w:val="24"/>
                <w:szCs w:val="24"/>
              </w:rPr>
              <w:t>BBB(RU), BBB-(RU)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4EF0C756" w14:textId="77777777" w:rsidR="000C1E0E" w:rsidRDefault="000C1E0E" w:rsidP="0098752B">
            <w:pPr>
              <w:spacing w:line="240" w:lineRule="auto"/>
              <w:jc w:val="center"/>
              <w:rPr>
                <w:sz w:val="24"/>
                <w:szCs w:val="24"/>
              </w:rPr>
            </w:pPr>
            <w:r>
              <w:rPr>
                <w:sz w:val="24"/>
                <w:szCs w:val="24"/>
              </w:rPr>
              <w:t>3,36%</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061C0EE7" w14:textId="77777777" w:rsidR="000C1E0E" w:rsidRDefault="000C1E0E" w:rsidP="0098752B">
            <w:pPr>
              <w:spacing w:line="240" w:lineRule="auto"/>
              <w:jc w:val="center"/>
              <w:rPr>
                <w:sz w:val="24"/>
                <w:szCs w:val="24"/>
              </w:rPr>
            </w:pPr>
            <w:r>
              <w:rPr>
                <w:sz w:val="24"/>
                <w:szCs w:val="24"/>
              </w:rPr>
              <w:t>55%</w:t>
            </w:r>
          </w:p>
        </w:tc>
      </w:tr>
      <w:tr w:rsidR="000C1E0E" w14:paraId="6BC9B119"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77810A69" w14:textId="77777777" w:rsidR="000C1E0E" w:rsidRDefault="000C1E0E" w:rsidP="0098752B">
            <w:pPr>
              <w:spacing w:line="240" w:lineRule="auto"/>
              <w:jc w:val="center"/>
              <w:rPr>
                <w:sz w:val="24"/>
                <w:szCs w:val="24"/>
              </w:rPr>
            </w:pPr>
            <w:r>
              <w:rPr>
                <w:sz w:val="24"/>
                <w:szCs w:val="24"/>
              </w:rPr>
              <w:t>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2C794E77" w14:textId="77777777" w:rsidR="000C1E0E" w:rsidRDefault="000C1E0E" w:rsidP="0098752B">
            <w:pPr>
              <w:spacing w:line="240" w:lineRule="auto"/>
              <w:jc w:val="center"/>
              <w:rPr>
                <w:sz w:val="24"/>
                <w:szCs w:val="24"/>
              </w:rPr>
            </w:pPr>
            <w:r>
              <w:rPr>
                <w:sz w:val="24"/>
                <w:szCs w:val="24"/>
              </w:rPr>
              <w:t>B2</w:t>
            </w:r>
          </w:p>
        </w:tc>
        <w:tc>
          <w:tcPr>
            <w:tcW w:w="1326" w:type="dxa"/>
            <w:tcBorders>
              <w:top w:val="single" w:sz="6" w:space="0" w:color="auto"/>
              <w:left w:val="single" w:sz="6" w:space="0" w:color="auto"/>
              <w:bottom w:val="single" w:sz="6" w:space="0" w:color="auto"/>
              <w:right w:val="single" w:sz="6" w:space="0" w:color="auto"/>
            </w:tcBorders>
            <w:vAlign w:val="center"/>
            <w:hideMark/>
          </w:tcPr>
          <w:p w14:paraId="44C3E97F" w14:textId="77777777" w:rsidR="000C1E0E" w:rsidRDefault="000C1E0E" w:rsidP="0098752B">
            <w:pPr>
              <w:spacing w:line="240" w:lineRule="auto"/>
              <w:jc w:val="center"/>
              <w:rPr>
                <w:sz w:val="24"/>
                <w:szCs w:val="24"/>
              </w:rPr>
            </w:pPr>
            <w:r>
              <w:rPr>
                <w:sz w:val="24"/>
                <w:szCs w:val="24"/>
              </w:rPr>
              <w:t>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2AE184CE" w14:textId="77777777" w:rsidR="000C1E0E" w:rsidRDefault="000C1E0E" w:rsidP="0098752B">
            <w:pPr>
              <w:spacing w:line="240" w:lineRule="auto"/>
              <w:jc w:val="center"/>
              <w:rPr>
                <w:sz w:val="24"/>
                <w:szCs w:val="24"/>
              </w:rPr>
            </w:pPr>
            <w:r>
              <w:rPr>
                <w:sz w:val="24"/>
                <w:szCs w:val="24"/>
              </w:rPr>
              <w:t>ruBBB-, ruBB+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28B09A3F" w14:textId="77777777" w:rsidR="000C1E0E" w:rsidRDefault="000C1E0E" w:rsidP="0098752B">
            <w:pPr>
              <w:spacing w:line="240" w:lineRule="auto"/>
              <w:jc w:val="center"/>
              <w:rPr>
                <w:sz w:val="24"/>
                <w:szCs w:val="24"/>
              </w:rPr>
            </w:pPr>
            <w:r>
              <w:rPr>
                <w:sz w:val="24"/>
                <w:szCs w:val="24"/>
              </w:rPr>
              <w:t>BB+(RU)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1A1A1A56" w14:textId="77777777" w:rsidR="000C1E0E" w:rsidRDefault="000C1E0E" w:rsidP="0098752B">
            <w:pPr>
              <w:spacing w:line="240" w:lineRule="auto"/>
              <w:jc w:val="center"/>
              <w:rPr>
                <w:sz w:val="24"/>
                <w:szCs w:val="24"/>
              </w:rPr>
            </w:pPr>
            <w:r>
              <w:rPr>
                <w:sz w:val="24"/>
                <w:szCs w:val="24"/>
              </w:rPr>
              <w:t>7,12%</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7671189A" w14:textId="77777777" w:rsidR="000C1E0E" w:rsidRDefault="000C1E0E" w:rsidP="0098752B">
            <w:pPr>
              <w:spacing w:line="240" w:lineRule="auto"/>
              <w:jc w:val="center"/>
              <w:rPr>
                <w:sz w:val="24"/>
                <w:szCs w:val="24"/>
              </w:rPr>
            </w:pPr>
            <w:r>
              <w:rPr>
                <w:sz w:val="24"/>
                <w:szCs w:val="24"/>
              </w:rPr>
              <w:t>55%</w:t>
            </w:r>
          </w:p>
        </w:tc>
      </w:tr>
      <w:tr w:rsidR="000C1E0E" w14:paraId="0B0C40A5"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339BEE2A" w14:textId="77777777" w:rsidR="000C1E0E" w:rsidRDefault="000C1E0E" w:rsidP="0098752B">
            <w:pPr>
              <w:spacing w:line="240" w:lineRule="auto"/>
              <w:jc w:val="center"/>
              <w:rPr>
                <w:sz w:val="24"/>
                <w:szCs w:val="24"/>
              </w:rPr>
            </w:pPr>
            <w:r>
              <w:rPr>
                <w:sz w:val="24"/>
                <w:szCs w:val="24"/>
              </w:rPr>
              <w:t>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000C9242" w14:textId="77777777" w:rsidR="000C1E0E" w:rsidRDefault="000C1E0E" w:rsidP="0098752B">
            <w:pPr>
              <w:spacing w:line="240" w:lineRule="auto"/>
              <w:jc w:val="center"/>
              <w:rPr>
                <w:sz w:val="24"/>
                <w:szCs w:val="24"/>
              </w:rPr>
            </w:pPr>
            <w:r>
              <w:rPr>
                <w:sz w:val="24"/>
                <w:szCs w:val="24"/>
              </w:rPr>
              <w:t>B3</w:t>
            </w:r>
          </w:p>
        </w:tc>
        <w:tc>
          <w:tcPr>
            <w:tcW w:w="1326" w:type="dxa"/>
            <w:tcBorders>
              <w:top w:val="single" w:sz="6" w:space="0" w:color="auto"/>
              <w:left w:val="single" w:sz="6" w:space="0" w:color="auto"/>
              <w:bottom w:val="single" w:sz="6" w:space="0" w:color="auto"/>
              <w:right w:val="single" w:sz="6" w:space="0" w:color="auto"/>
            </w:tcBorders>
            <w:vAlign w:val="center"/>
            <w:hideMark/>
          </w:tcPr>
          <w:p w14:paraId="7D53AF03" w14:textId="77777777" w:rsidR="000C1E0E" w:rsidRDefault="000C1E0E" w:rsidP="0098752B">
            <w:pPr>
              <w:spacing w:line="240" w:lineRule="auto"/>
              <w:jc w:val="center"/>
              <w:rPr>
                <w:sz w:val="24"/>
                <w:szCs w:val="24"/>
              </w:rPr>
            </w:pPr>
            <w:r>
              <w:rPr>
                <w:sz w:val="24"/>
                <w:szCs w:val="24"/>
              </w:rPr>
              <w:t>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0E6DF969" w14:textId="77777777" w:rsidR="000C1E0E" w:rsidRDefault="000C1E0E" w:rsidP="0098752B">
            <w:pPr>
              <w:spacing w:line="240" w:lineRule="auto"/>
              <w:jc w:val="center"/>
              <w:rPr>
                <w:sz w:val="24"/>
                <w:szCs w:val="24"/>
              </w:rPr>
            </w:pPr>
            <w:r>
              <w:rPr>
                <w:sz w:val="24"/>
                <w:szCs w:val="24"/>
              </w:rPr>
              <w:t>ruBB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2C05E0E0" w14:textId="77777777" w:rsidR="000C1E0E" w:rsidRDefault="000C1E0E" w:rsidP="0098752B">
            <w:pPr>
              <w:spacing w:line="240" w:lineRule="auto"/>
              <w:jc w:val="center"/>
              <w:rPr>
                <w:sz w:val="24"/>
                <w:szCs w:val="24"/>
              </w:rPr>
            </w:pPr>
            <w:r>
              <w:rPr>
                <w:sz w:val="24"/>
                <w:szCs w:val="24"/>
              </w:rPr>
              <w:t>BB(RU), BB-(RU)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7890BFE6" w14:textId="77777777" w:rsidR="000C1E0E" w:rsidRDefault="000C1E0E" w:rsidP="0098752B">
            <w:pPr>
              <w:spacing w:line="240" w:lineRule="auto"/>
              <w:jc w:val="center"/>
              <w:rPr>
                <w:sz w:val="24"/>
                <w:szCs w:val="24"/>
              </w:rPr>
            </w:pPr>
            <w:r>
              <w:rPr>
                <w:sz w:val="24"/>
                <w:szCs w:val="24"/>
              </w:rPr>
              <w:t>11,74%</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641EC22E" w14:textId="77777777" w:rsidR="000C1E0E" w:rsidRDefault="000C1E0E" w:rsidP="0098752B">
            <w:pPr>
              <w:spacing w:line="240" w:lineRule="auto"/>
              <w:jc w:val="center"/>
              <w:rPr>
                <w:sz w:val="24"/>
                <w:szCs w:val="24"/>
              </w:rPr>
            </w:pPr>
            <w:r>
              <w:rPr>
                <w:sz w:val="24"/>
                <w:szCs w:val="24"/>
              </w:rPr>
              <w:t>55%</w:t>
            </w:r>
          </w:p>
        </w:tc>
      </w:tr>
      <w:tr w:rsidR="000C1E0E" w14:paraId="4294F0F7"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7018BCED" w14:textId="77777777" w:rsidR="000C1E0E" w:rsidRDefault="000C1E0E" w:rsidP="0098752B">
            <w:pPr>
              <w:spacing w:line="240" w:lineRule="auto"/>
              <w:jc w:val="center"/>
              <w:rPr>
                <w:sz w:val="24"/>
                <w:szCs w:val="24"/>
              </w:rPr>
            </w:pPr>
            <w:r>
              <w:rPr>
                <w:sz w:val="24"/>
                <w:szCs w:val="24"/>
              </w:rPr>
              <w:t>CCC</w:t>
            </w:r>
          </w:p>
        </w:tc>
        <w:tc>
          <w:tcPr>
            <w:tcW w:w="1346" w:type="dxa"/>
            <w:tcBorders>
              <w:top w:val="single" w:sz="6" w:space="0" w:color="auto"/>
              <w:left w:val="single" w:sz="6" w:space="0" w:color="auto"/>
              <w:bottom w:val="single" w:sz="6" w:space="0" w:color="auto"/>
              <w:right w:val="single" w:sz="6" w:space="0" w:color="auto"/>
            </w:tcBorders>
            <w:vAlign w:val="center"/>
            <w:hideMark/>
          </w:tcPr>
          <w:p w14:paraId="0014B8C7" w14:textId="77777777" w:rsidR="000C1E0E" w:rsidRDefault="000C1E0E" w:rsidP="0098752B">
            <w:pPr>
              <w:spacing w:line="240" w:lineRule="auto"/>
              <w:jc w:val="center"/>
              <w:rPr>
                <w:sz w:val="24"/>
                <w:szCs w:val="24"/>
              </w:rPr>
            </w:pPr>
            <w:r>
              <w:rPr>
                <w:sz w:val="24"/>
                <w:szCs w:val="24"/>
              </w:rPr>
              <w:t>Caa</w:t>
            </w:r>
          </w:p>
        </w:tc>
        <w:tc>
          <w:tcPr>
            <w:tcW w:w="1326" w:type="dxa"/>
            <w:tcBorders>
              <w:top w:val="single" w:sz="6" w:space="0" w:color="auto"/>
              <w:left w:val="single" w:sz="6" w:space="0" w:color="auto"/>
              <w:bottom w:val="single" w:sz="6" w:space="0" w:color="auto"/>
              <w:right w:val="single" w:sz="6" w:space="0" w:color="auto"/>
            </w:tcBorders>
            <w:vAlign w:val="center"/>
            <w:hideMark/>
          </w:tcPr>
          <w:p w14:paraId="36015454" w14:textId="77777777" w:rsidR="000C1E0E" w:rsidRDefault="000C1E0E" w:rsidP="0098752B">
            <w:pPr>
              <w:spacing w:line="240" w:lineRule="auto"/>
              <w:jc w:val="center"/>
              <w:rPr>
                <w:sz w:val="24"/>
                <w:szCs w:val="24"/>
              </w:rPr>
            </w:pPr>
            <w:r>
              <w:rPr>
                <w:sz w:val="24"/>
                <w:szCs w:val="24"/>
              </w:rPr>
              <w:t>CCC</w:t>
            </w:r>
          </w:p>
        </w:tc>
        <w:tc>
          <w:tcPr>
            <w:tcW w:w="1268" w:type="dxa"/>
            <w:tcBorders>
              <w:top w:val="single" w:sz="6" w:space="0" w:color="auto"/>
              <w:left w:val="single" w:sz="6" w:space="0" w:color="auto"/>
              <w:bottom w:val="single" w:sz="6" w:space="0" w:color="auto"/>
              <w:right w:val="single" w:sz="6" w:space="0" w:color="auto"/>
            </w:tcBorders>
            <w:vAlign w:val="center"/>
            <w:hideMark/>
          </w:tcPr>
          <w:p w14:paraId="6C0CF088" w14:textId="77777777" w:rsidR="000C1E0E" w:rsidRDefault="000C1E0E" w:rsidP="0098752B">
            <w:pPr>
              <w:spacing w:line="240" w:lineRule="auto"/>
              <w:jc w:val="center"/>
              <w:rPr>
                <w:sz w:val="24"/>
                <w:szCs w:val="24"/>
              </w:rPr>
            </w:pPr>
            <w:r>
              <w:rPr>
                <w:sz w:val="24"/>
                <w:szCs w:val="24"/>
              </w:rPr>
              <w:t>ruCCC</w:t>
            </w:r>
          </w:p>
        </w:tc>
        <w:tc>
          <w:tcPr>
            <w:tcW w:w="1268" w:type="dxa"/>
            <w:tcBorders>
              <w:top w:val="single" w:sz="6" w:space="0" w:color="auto"/>
              <w:left w:val="single" w:sz="6" w:space="0" w:color="auto"/>
              <w:bottom w:val="single" w:sz="6" w:space="0" w:color="auto"/>
              <w:right w:val="single" w:sz="6" w:space="0" w:color="auto"/>
            </w:tcBorders>
            <w:vAlign w:val="center"/>
            <w:hideMark/>
          </w:tcPr>
          <w:p w14:paraId="47748CF6" w14:textId="77777777" w:rsidR="000C1E0E" w:rsidRDefault="000C1E0E" w:rsidP="0098752B">
            <w:pPr>
              <w:spacing w:line="240" w:lineRule="auto"/>
              <w:jc w:val="center"/>
              <w:rPr>
                <w:sz w:val="24"/>
                <w:szCs w:val="24"/>
              </w:rPr>
            </w:pPr>
            <w:r>
              <w:rPr>
                <w:sz w:val="24"/>
                <w:szCs w:val="24"/>
              </w:rPr>
              <w:t>CCC(RU)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5D50A76F" w14:textId="77777777" w:rsidR="000C1E0E" w:rsidRDefault="000C1E0E" w:rsidP="0098752B">
            <w:pPr>
              <w:spacing w:line="240" w:lineRule="auto"/>
              <w:jc w:val="center"/>
              <w:rPr>
                <w:sz w:val="24"/>
                <w:szCs w:val="24"/>
              </w:rPr>
            </w:pPr>
            <w:r>
              <w:rPr>
                <w:sz w:val="24"/>
                <w:szCs w:val="24"/>
              </w:rPr>
              <w:t>24,89%</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7A344701" w14:textId="77777777" w:rsidR="000C1E0E" w:rsidRDefault="000C1E0E" w:rsidP="0098752B">
            <w:pPr>
              <w:spacing w:line="240" w:lineRule="auto"/>
              <w:jc w:val="center"/>
              <w:rPr>
                <w:sz w:val="24"/>
                <w:szCs w:val="24"/>
              </w:rPr>
            </w:pPr>
            <w:r>
              <w:rPr>
                <w:sz w:val="24"/>
                <w:szCs w:val="24"/>
              </w:rPr>
              <w:t>55%</w:t>
            </w:r>
          </w:p>
        </w:tc>
      </w:tr>
      <w:tr w:rsidR="000C1E0E" w14:paraId="0C1A8729"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66ED1A75" w14:textId="77777777" w:rsidR="000C1E0E" w:rsidRDefault="000C1E0E" w:rsidP="0098752B">
            <w:pPr>
              <w:spacing w:line="240" w:lineRule="auto"/>
              <w:jc w:val="center"/>
              <w:rPr>
                <w:sz w:val="24"/>
                <w:szCs w:val="24"/>
              </w:rPr>
            </w:pPr>
            <w:r>
              <w:rPr>
                <w:sz w:val="24"/>
                <w:szCs w:val="24"/>
              </w:rPr>
              <w:t>CC</w:t>
            </w:r>
          </w:p>
        </w:tc>
        <w:tc>
          <w:tcPr>
            <w:tcW w:w="1346" w:type="dxa"/>
            <w:tcBorders>
              <w:top w:val="single" w:sz="6" w:space="0" w:color="auto"/>
              <w:left w:val="single" w:sz="6" w:space="0" w:color="auto"/>
              <w:bottom w:val="single" w:sz="6" w:space="0" w:color="auto"/>
              <w:right w:val="single" w:sz="6" w:space="0" w:color="auto"/>
            </w:tcBorders>
            <w:vAlign w:val="center"/>
            <w:hideMark/>
          </w:tcPr>
          <w:p w14:paraId="311CD578" w14:textId="77777777" w:rsidR="000C1E0E" w:rsidRDefault="000C1E0E" w:rsidP="0098752B">
            <w:pPr>
              <w:spacing w:line="240" w:lineRule="auto"/>
              <w:jc w:val="center"/>
              <w:rPr>
                <w:sz w:val="24"/>
                <w:szCs w:val="24"/>
              </w:rPr>
            </w:pPr>
            <w:r>
              <w:rPr>
                <w:sz w:val="24"/>
                <w:szCs w:val="24"/>
              </w:rPr>
              <w:t>Ca</w:t>
            </w:r>
          </w:p>
        </w:tc>
        <w:tc>
          <w:tcPr>
            <w:tcW w:w="1326" w:type="dxa"/>
            <w:tcBorders>
              <w:top w:val="single" w:sz="6" w:space="0" w:color="auto"/>
              <w:left w:val="single" w:sz="6" w:space="0" w:color="auto"/>
              <w:bottom w:val="single" w:sz="6" w:space="0" w:color="auto"/>
              <w:right w:val="single" w:sz="6" w:space="0" w:color="auto"/>
            </w:tcBorders>
            <w:vAlign w:val="center"/>
            <w:hideMark/>
          </w:tcPr>
          <w:p w14:paraId="3A3623B4" w14:textId="77777777" w:rsidR="000C1E0E" w:rsidRDefault="000C1E0E" w:rsidP="0098752B">
            <w:pPr>
              <w:spacing w:line="240" w:lineRule="auto"/>
              <w:jc w:val="center"/>
              <w:rPr>
                <w:sz w:val="24"/>
                <w:szCs w:val="24"/>
              </w:rPr>
            </w:pPr>
            <w:r>
              <w:rPr>
                <w:sz w:val="24"/>
                <w:szCs w:val="24"/>
              </w:rPr>
              <w:t>CC</w:t>
            </w:r>
          </w:p>
        </w:tc>
        <w:tc>
          <w:tcPr>
            <w:tcW w:w="1268" w:type="dxa"/>
            <w:tcBorders>
              <w:top w:val="single" w:sz="6" w:space="0" w:color="auto"/>
              <w:left w:val="single" w:sz="6" w:space="0" w:color="auto"/>
              <w:bottom w:val="single" w:sz="6" w:space="0" w:color="auto"/>
              <w:right w:val="single" w:sz="6" w:space="0" w:color="auto"/>
            </w:tcBorders>
            <w:vAlign w:val="center"/>
            <w:hideMark/>
          </w:tcPr>
          <w:p w14:paraId="4A047254" w14:textId="77777777" w:rsidR="000C1E0E" w:rsidRDefault="000C1E0E" w:rsidP="0098752B">
            <w:pPr>
              <w:spacing w:line="240" w:lineRule="auto"/>
              <w:jc w:val="center"/>
              <w:rPr>
                <w:sz w:val="24"/>
                <w:szCs w:val="24"/>
              </w:rPr>
            </w:pPr>
            <w:r>
              <w:rPr>
                <w:sz w:val="24"/>
                <w:szCs w:val="24"/>
              </w:rPr>
              <w:t>ruCC</w:t>
            </w:r>
          </w:p>
        </w:tc>
        <w:tc>
          <w:tcPr>
            <w:tcW w:w="1268" w:type="dxa"/>
            <w:tcBorders>
              <w:top w:val="single" w:sz="6" w:space="0" w:color="auto"/>
              <w:left w:val="single" w:sz="6" w:space="0" w:color="auto"/>
              <w:bottom w:val="single" w:sz="6" w:space="0" w:color="auto"/>
              <w:right w:val="single" w:sz="6" w:space="0" w:color="auto"/>
            </w:tcBorders>
            <w:vAlign w:val="center"/>
            <w:hideMark/>
          </w:tcPr>
          <w:p w14:paraId="27A2D45D" w14:textId="77777777" w:rsidR="000C1E0E" w:rsidRDefault="000C1E0E" w:rsidP="0098752B">
            <w:pPr>
              <w:spacing w:line="240" w:lineRule="auto"/>
              <w:jc w:val="center"/>
              <w:rPr>
                <w:sz w:val="24"/>
                <w:szCs w:val="24"/>
              </w:rPr>
            </w:pPr>
            <w:r>
              <w:rPr>
                <w:sz w:val="24"/>
                <w:szCs w:val="24"/>
              </w:rPr>
              <w:t>CC(RU)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2CB9B114" w14:textId="77777777" w:rsidR="000C1E0E" w:rsidRDefault="000C1E0E" w:rsidP="0098752B">
            <w:pPr>
              <w:spacing w:line="240" w:lineRule="auto"/>
              <w:jc w:val="center"/>
              <w:rPr>
                <w:sz w:val="24"/>
                <w:szCs w:val="24"/>
              </w:rPr>
            </w:pPr>
            <w:r>
              <w:rPr>
                <w:sz w:val="24"/>
                <w:szCs w:val="24"/>
              </w:rPr>
              <w:t>31,97%</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6ACB1611" w14:textId="77777777" w:rsidR="000C1E0E" w:rsidRDefault="000C1E0E" w:rsidP="0098752B">
            <w:pPr>
              <w:spacing w:line="240" w:lineRule="auto"/>
              <w:jc w:val="center"/>
              <w:rPr>
                <w:sz w:val="24"/>
                <w:szCs w:val="24"/>
              </w:rPr>
            </w:pPr>
            <w:r>
              <w:rPr>
                <w:sz w:val="24"/>
                <w:szCs w:val="24"/>
              </w:rPr>
              <w:t>55%</w:t>
            </w:r>
          </w:p>
        </w:tc>
      </w:tr>
      <w:tr w:rsidR="000C1E0E" w14:paraId="329C0A33"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70BFE278" w14:textId="77777777" w:rsidR="000C1E0E" w:rsidRDefault="000C1E0E" w:rsidP="0098752B">
            <w:pPr>
              <w:spacing w:line="240" w:lineRule="auto"/>
              <w:jc w:val="center"/>
              <w:rPr>
                <w:sz w:val="24"/>
                <w:szCs w:val="24"/>
              </w:rPr>
            </w:pPr>
            <w:r>
              <w:rPr>
                <w:sz w:val="24"/>
                <w:szCs w:val="24"/>
              </w:rPr>
              <w:t>C</w:t>
            </w:r>
          </w:p>
        </w:tc>
        <w:tc>
          <w:tcPr>
            <w:tcW w:w="1346" w:type="dxa"/>
            <w:tcBorders>
              <w:top w:val="single" w:sz="6" w:space="0" w:color="auto"/>
              <w:left w:val="single" w:sz="6" w:space="0" w:color="auto"/>
              <w:bottom w:val="single" w:sz="6" w:space="0" w:color="auto"/>
              <w:right w:val="single" w:sz="6" w:space="0" w:color="auto"/>
            </w:tcBorders>
            <w:vAlign w:val="center"/>
            <w:hideMark/>
          </w:tcPr>
          <w:p w14:paraId="0C6006BD" w14:textId="77777777" w:rsidR="000C1E0E" w:rsidRDefault="000C1E0E" w:rsidP="0098752B">
            <w:pPr>
              <w:spacing w:line="240" w:lineRule="auto"/>
              <w:jc w:val="center"/>
              <w:rPr>
                <w:sz w:val="24"/>
                <w:szCs w:val="24"/>
              </w:rPr>
            </w:pPr>
            <w:r>
              <w:rPr>
                <w:sz w:val="24"/>
                <w:szCs w:val="24"/>
              </w:rPr>
              <w:t>C</w:t>
            </w:r>
          </w:p>
        </w:tc>
        <w:tc>
          <w:tcPr>
            <w:tcW w:w="1326" w:type="dxa"/>
            <w:tcBorders>
              <w:top w:val="single" w:sz="6" w:space="0" w:color="auto"/>
              <w:left w:val="single" w:sz="6" w:space="0" w:color="auto"/>
              <w:bottom w:val="single" w:sz="6" w:space="0" w:color="auto"/>
              <w:right w:val="single" w:sz="6" w:space="0" w:color="auto"/>
            </w:tcBorders>
            <w:vAlign w:val="center"/>
            <w:hideMark/>
          </w:tcPr>
          <w:p w14:paraId="5AEF3EC6" w14:textId="77777777" w:rsidR="000C1E0E" w:rsidRDefault="000C1E0E" w:rsidP="0098752B">
            <w:pPr>
              <w:spacing w:line="240" w:lineRule="auto"/>
              <w:jc w:val="center"/>
              <w:rPr>
                <w:sz w:val="24"/>
                <w:szCs w:val="24"/>
              </w:rPr>
            </w:pPr>
            <w:r>
              <w:rPr>
                <w:sz w:val="24"/>
                <w:szCs w:val="24"/>
              </w:rPr>
              <w:t>C</w:t>
            </w:r>
          </w:p>
        </w:tc>
        <w:tc>
          <w:tcPr>
            <w:tcW w:w="1268" w:type="dxa"/>
            <w:tcBorders>
              <w:top w:val="single" w:sz="6" w:space="0" w:color="auto"/>
              <w:left w:val="single" w:sz="6" w:space="0" w:color="auto"/>
              <w:bottom w:val="single" w:sz="6" w:space="0" w:color="auto"/>
              <w:right w:val="single" w:sz="6" w:space="0" w:color="auto"/>
            </w:tcBorders>
            <w:vAlign w:val="center"/>
            <w:hideMark/>
          </w:tcPr>
          <w:p w14:paraId="27482206" w14:textId="77777777" w:rsidR="000C1E0E" w:rsidRDefault="000C1E0E" w:rsidP="0098752B">
            <w:pPr>
              <w:spacing w:line="240" w:lineRule="auto"/>
              <w:jc w:val="center"/>
              <w:rPr>
                <w:sz w:val="24"/>
                <w:szCs w:val="24"/>
              </w:rPr>
            </w:pPr>
            <w:r>
              <w:rPr>
                <w:sz w:val="24"/>
                <w:szCs w:val="24"/>
              </w:rPr>
              <w:t>ruC</w:t>
            </w:r>
          </w:p>
        </w:tc>
        <w:tc>
          <w:tcPr>
            <w:tcW w:w="1268" w:type="dxa"/>
            <w:tcBorders>
              <w:top w:val="single" w:sz="6" w:space="0" w:color="auto"/>
              <w:left w:val="single" w:sz="6" w:space="0" w:color="auto"/>
              <w:bottom w:val="single" w:sz="6" w:space="0" w:color="auto"/>
              <w:right w:val="single" w:sz="6" w:space="0" w:color="auto"/>
            </w:tcBorders>
            <w:vAlign w:val="center"/>
            <w:hideMark/>
          </w:tcPr>
          <w:p w14:paraId="154E0FD5" w14:textId="77777777" w:rsidR="000C1E0E" w:rsidRDefault="000C1E0E" w:rsidP="0098752B">
            <w:pPr>
              <w:spacing w:line="240" w:lineRule="auto"/>
              <w:jc w:val="center"/>
              <w:rPr>
                <w:sz w:val="24"/>
                <w:szCs w:val="24"/>
              </w:rPr>
            </w:pPr>
            <w:r>
              <w:rPr>
                <w:sz w:val="24"/>
                <w:szCs w:val="24"/>
              </w:rPr>
              <w:t>C(RU)</w:t>
            </w:r>
          </w:p>
        </w:tc>
        <w:tc>
          <w:tcPr>
            <w:tcW w:w="1449" w:type="dxa"/>
            <w:tcBorders>
              <w:top w:val="single" w:sz="6" w:space="0" w:color="auto"/>
              <w:left w:val="single" w:sz="6" w:space="0" w:color="auto"/>
              <w:bottom w:val="single" w:sz="6" w:space="0" w:color="auto"/>
              <w:right w:val="single" w:sz="4" w:space="0" w:color="auto"/>
            </w:tcBorders>
            <w:vAlign w:val="center"/>
            <w:hideMark/>
          </w:tcPr>
          <w:p w14:paraId="6EC21513" w14:textId="77777777" w:rsidR="000C1E0E" w:rsidRDefault="000C1E0E" w:rsidP="0098752B">
            <w:pPr>
              <w:spacing w:line="240" w:lineRule="auto"/>
              <w:jc w:val="center"/>
              <w:rPr>
                <w:sz w:val="24"/>
                <w:szCs w:val="24"/>
              </w:rPr>
            </w:pPr>
            <w:r>
              <w:rPr>
                <w:sz w:val="24"/>
                <w:szCs w:val="24"/>
              </w:rPr>
              <w:t>41,06%</w:t>
            </w:r>
          </w:p>
        </w:tc>
        <w:tc>
          <w:tcPr>
            <w:tcW w:w="1423" w:type="dxa"/>
            <w:tcBorders>
              <w:top w:val="single" w:sz="6" w:space="0" w:color="auto"/>
              <w:left w:val="single" w:sz="4" w:space="0" w:color="auto"/>
              <w:bottom w:val="single" w:sz="6" w:space="0" w:color="auto"/>
              <w:right w:val="single" w:sz="12" w:space="0" w:color="auto"/>
            </w:tcBorders>
            <w:vAlign w:val="center"/>
            <w:hideMark/>
          </w:tcPr>
          <w:p w14:paraId="26AF6AAC" w14:textId="77777777" w:rsidR="000C1E0E" w:rsidRDefault="000C1E0E" w:rsidP="0098752B">
            <w:pPr>
              <w:spacing w:line="240" w:lineRule="auto"/>
              <w:jc w:val="center"/>
              <w:rPr>
                <w:sz w:val="24"/>
                <w:szCs w:val="24"/>
              </w:rPr>
            </w:pPr>
            <w:r>
              <w:rPr>
                <w:sz w:val="24"/>
                <w:szCs w:val="24"/>
              </w:rPr>
              <w:t>100%</w:t>
            </w:r>
          </w:p>
        </w:tc>
      </w:tr>
      <w:tr w:rsidR="000C1E0E" w14:paraId="563457B9" w14:textId="77777777" w:rsidTr="0098752B">
        <w:trPr>
          <w:trHeight w:val="340"/>
          <w:jc w:val="center"/>
        </w:trPr>
        <w:tc>
          <w:tcPr>
            <w:tcW w:w="1355" w:type="dxa"/>
            <w:tcBorders>
              <w:top w:val="single" w:sz="6" w:space="0" w:color="auto"/>
              <w:left w:val="single" w:sz="12" w:space="0" w:color="auto"/>
              <w:bottom w:val="single" w:sz="12" w:space="0" w:color="auto"/>
              <w:right w:val="single" w:sz="6" w:space="0" w:color="auto"/>
            </w:tcBorders>
            <w:vAlign w:val="center"/>
            <w:hideMark/>
          </w:tcPr>
          <w:p w14:paraId="27400578" w14:textId="77777777" w:rsidR="000C1E0E" w:rsidRDefault="000C1E0E" w:rsidP="0098752B">
            <w:pPr>
              <w:spacing w:line="240" w:lineRule="auto"/>
              <w:jc w:val="center"/>
              <w:rPr>
                <w:sz w:val="24"/>
                <w:szCs w:val="24"/>
              </w:rPr>
            </w:pPr>
            <w:r>
              <w:rPr>
                <w:sz w:val="24"/>
                <w:szCs w:val="24"/>
              </w:rPr>
              <w:t>D</w:t>
            </w:r>
          </w:p>
        </w:tc>
        <w:tc>
          <w:tcPr>
            <w:tcW w:w="1346" w:type="dxa"/>
            <w:tcBorders>
              <w:top w:val="single" w:sz="6" w:space="0" w:color="auto"/>
              <w:left w:val="single" w:sz="6" w:space="0" w:color="auto"/>
              <w:bottom w:val="single" w:sz="12" w:space="0" w:color="auto"/>
              <w:right w:val="single" w:sz="6" w:space="0" w:color="auto"/>
            </w:tcBorders>
            <w:vAlign w:val="center"/>
            <w:hideMark/>
          </w:tcPr>
          <w:p w14:paraId="5E1E963F" w14:textId="77777777" w:rsidR="000C1E0E" w:rsidRDefault="000C1E0E" w:rsidP="0098752B">
            <w:pPr>
              <w:spacing w:line="240" w:lineRule="auto"/>
              <w:jc w:val="center"/>
              <w:rPr>
                <w:sz w:val="24"/>
                <w:szCs w:val="24"/>
              </w:rPr>
            </w:pPr>
            <w:r>
              <w:rPr>
                <w:sz w:val="24"/>
                <w:szCs w:val="24"/>
              </w:rPr>
              <w:t>D</w:t>
            </w:r>
          </w:p>
        </w:tc>
        <w:tc>
          <w:tcPr>
            <w:tcW w:w="1326" w:type="dxa"/>
            <w:tcBorders>
              <w:top w:val="single" w:sz="6" w:space="0" w:color="auto"/>
              <w:left w:val="single" w:sz="6" w:space="0" w:color="auto"/>
              <w:bottom w:val="single" w:sz="12" w:space="0" w:color="auto"/>
              <w:right w:val="single" w:sz="6" w:space="0" w:color="auto"/>
            </w:tcBorders>
            <w:vAlign w:val="center"/>
            <w:hideMark/>
          </w:tcPr>
          <w:p w14:paraId="5676DDEE" w14:textId="77777777" w:rsidR="000C1E0E" w:rsidRDefault="000C1E0E" w:rsidP="0098752B">
            <w:pPr>
              <w:spacing w:line="240" w:lineRule="auto"/>
              <w:jc w:val="center"/>
              <w:rPr>
                <w:sz w:val="24"/>
                <w:szCs w:val="24"/>
              </w:rPr>
            </w:pPr>
            <w:r>
              <w:rPr>
                <w:sz w:val="24"/>
                <w:szCs w:val="24"/>
              </w:rPr>
              <w:t>D</w:t>
            </w:r>
          </w:p>
        </w:tc>
        <w:tc>
          <w:tcPr>
            <w:tcW w:w="1268" w:type="dxa"/>
            <w:tcBorders>
              <w:top w:val="single" w:sz="6" w:space="0" w:color="auto"/>
              <w:left w:val="single" w:sz="6" w:space="0" w:color="auto"/>
              <w:bottom w:val="single" w:sz="12" w:space="0" w:color="auto"/>
              <w:right w:val="single" w:sz="6" w:space="0" w:color="auto"/>
            </w:tcBorders>
            <w:vAlign w:val="center"/>
            <w:hideMark/>
          </w:tcPr>
          <w:p w14:paraId="292CD4A5" w14:textId="77777777" w:rsidR="000C1E0E" w:rsidRDefault="000C1E0E" w:rsidP="0098752B">
            <w:pPr>
              <w:spacing w:line="240" w:lineRule="auto"/>
              <w:jc w:val="center"/>
              <w:rPr>
                <w:sz w:val="24"/>
                <w:szCs w:val="24"/>
              </w:rPr>
            </w:pPr>
            <w:r>
              <w:rPr>
                <w:sz w:val="24"/>
                <w:szCs w:val="24"/>
              </w:rPr>
              <w:t>ruD</w:t>
            </w:r>
          </w:p>
        </w:tc>
        <w:tc>
          <w:tcPr>
            <w:tcW w:w="1268" w:type="dxa"/>
            <w:tcBorders>
              <w:top w:val="single" w:sz="6" w:space="0" w:color="auto"/>
              <w:left w:val="single" w:sz="6" w:space="0" w:color="auto"/>
              <w:bottom w:val="single" w:sz="12" w:space="0" w:color="auto"/>
              <w:right w:val="single" w:sz="6" w:space="0" w:color="auto"/>
            </w:tcBorders>
            <w:vAlign w:val="center"/>
            <w:hideMark/>
          </w:tcPr>
          <w:p w14:paraId="37E687F9" w14:textId="77777777" w:rsidR="000C1E0E" w:rsidRDefault="000C1E0E" w:rsidP="0098752B">
            <w:pPr>
              <w:spacing w:line="240" w:lineRule="auto"/>
              <w:jc w:val="center"/>
              <w:rPr>
                <w:sz w:val="24"/>
                <w:szCs w:val="24"/>
              </w:rPr>
            </w:pPr>
            <w:r>
              <w:rPr>
                <w:sz w:val="24"/>
                <w:szCs w:val="24"/>
              </w:rPr>
              <w:t>D(RU)</w:t>
            </w:r>
          </w:p>
        </w:tc>
        <w:tc>
          <w:tcPr>
            <w:tcW w:w="1449" w:type="dxa"/>
            <w:tcBorders>
              <w:top w:val="single" w:sz="6" w:space="0" w:color="auto"/>
              <w:left w:val="single" w:sz="6" w:space="0" w:color="auto"/>
              <w:bottom w:val="single" w:sz="12" w:space="0" w:color="auto"/>
              <w:right w:val="single" w:sz="4" w:space="0" w:color="auto"/>
            </w:tcBorders>
            <w:vAlign w:val="center"/>
            <w:hideMark/>
          </w:tcPr>
          <w:p w14:paraId="21FB209E" w14:textId="77777777" w:rsidR="000C1E0E" w:rsidRDefault="000C1E0E" w:rsidP="0098752B">
            <w:pPr>
              <w:spacing w:line="240" w:lineRule="auto"/>
              <w:jc w:val="center"/>
              <w:rPr>
                <w:sz w:val="24"/>
                <w:szCs w:val="24"/>
              </w:rPr>
            </w:pPr>
            <w:r>
              <w:rPr>
                <w:sz w:val="24"/>
                <w:szCs w:val="24"/>
              </w:rPr>
              <w:t>100%</w:t>
            </w:r>
          </w:p>
        </w:tc>
        <w:tc>
          <w:tcPr>
            <w:tcW w:w="1423" w:type="dxa"/>
            <w:tcBorders>
              <w:top w:val="single" w:sz="6" w:space="0" w:color="auto"/>
              <w:left w:val="single" w:sz="4" w:space="0" w:color="auto"/>
              <w:bottom w:val="single" w:sz="12" w:space="0" w:color="auto"/>
              <w:right w:val="single" w:sz="12" w:space="0" w:color="auto"/>
            </w:tcBorders>
            <w:vAlign w:val="center"/>
            <w:hideMark/>
          </w:tcPr>
          <w:p w14:paraId="3A1F19FA" w14:textId="77777777" w:rsidR="000C1E0E" w:rsidRDefault="000C1E0E" w:rsidP="0098752B">
            <w:pPr>
              <w:spacing w:line="240" w:lineRule="auto"/>
              <w:jc w:val="center"/>
              <w:rPr>
                <w:sz w:val="24"/>
                <w:szCs w:val="24"/>
              </w:rPr>
            </w:pPr>
            <w:r>
              <w:rPr>
                <w:sz w:val="24"/>
                <w:szCs w:val="24"/>
              </w:rPr>
              <w:t>100%</w:t>
            </w:r>
          </w:p>
        </w:tc>
      </w:tr>
    </w:tbl>
    <w:p w14:paraId="31162E1F" w14:textId="77777777" w:rsidR="000C1E0E" w:rsidRDefault="000C1E0E" w:rsidP="000C1E0E">
      <w:pPr>
        <w:autoSpaceDE w:val="0"/>
        <w:autoSpaceDN w:val="0"/>
        <w:spacing w:line="240" w:lineRule="auto"/>
        <w:rPr>
          <w:sz w:val="24"/>
          <w:szCs w:val="24"/>
        </w:rPr>
      </w:pPr>
    </w:p>
    <w:p w14:paraId="3AF433E7" w14:textId="77777777" w:rsidR="000C1E0E" w:rsidRDefault="000C1E0E" w:rsidP="000C1E0E">
      <w:pPr>
        <w:autoSpaceDE w:val="0"/>
        <w:autoSpaceDN w:val="0"/>
        <w:spacing w:line="240" w:lineRule="auto"/>
        <w:rPr>
          <w:sz w:val="24"/>
          <w:szCs w:val="24"/>
        </w:rPr>
      </w:pPr>
    </w:p>
    <w:p w14:paraId="4577FA30" w14:textId="77777777" w:rsidR="000C1E0E" w:rsidRDefault="000C1E0E" w:rsidP="000C1E0E">
      <w:pPr>
        <w:keepNext/>
        <w:tabs>
          <w:tab w:val="left" w:pos="2977"/>
        </w:tabs>
        <w:suppressAutoHyphens/>
        <w:spacing w:line="240" w:lineRule="auto"/>
        <w:jc w:val="center"/>
        <w:outlineLvl w:val="2"/>
        <w:rPr>
          <w:sz w:val="24"/>
          <w:szCs w:val="24"/>
        </w:rPr>
      </w:pPr>
      <w:r>
        <w:rPr>
          <w:sz w:val="24"/>
          <w:szCs w:val="24"/>
        </w:rPr>
        <w:t>Таблица 2. Оценка финансового состояния контрагента.</w:t>
      </w:r>
    </w:p>
    <w:tbl>
      <w:tblPr>
        <w:tblW w:w="493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95"/>
        <w:gridCol w:w="2907"/>
        <w:gridCol w:w="874"/>
        <w:gridCol w:w="1794"/>
        <w:gridCol w:w="1135"/>
      </w:tblGrid>
      <w:tr w:rsidR="000C1E0E" w14:paraId="1260BFD9" w14:textId="77777777" w:rsidTr="0098752B">
        <w:trPr>
          <w:trHeight w:val="340"/>
          <w:jc w:val="center"/>
        </w:trPr>
        <w:tc>
          <w:tcPr>
            <w:tcW w:w="2599" w:type="dxa"/>
            <w:tcBorders>
              <w:top w:val="single" w:sz="12" w:space="0" w:color="auto"/>
              <w:left w:val="single" w:sz="12" w:space="0" w:color="auto"/>
              <w:bottom w:val="single" w:sz="12" w:space="0" w:color="auto"/>
              <w:right w:val="single" w:sz="6" w:space="0" w:color="auto"/>
            </w:tcBorders>
            <w:shd w:val="pct20" w:color="C0C0C0" w:fill="auto"/>
            <w:vAlign w:val="center"/>
            <w:hideMark/>
          </w:tcPr>
          <w:p w14:paraId="26C5D20A" w14:textId="77777777" w:rsidR="000C1E0E" w:rsidRDefault="000C1E0E" w:rsidP="0098752B">
            <w:pPr>
              <w:spacing w:line="240" w:lineRule="auto"/>
              <w:jc w:val="center"/>
              <w:rPr>
                <w:sz w:val="24"/>
                <w:szCs w:val="24"/>
              </w:rPr>
            </w:pPr>
            <w:r>
              <w:rPr>
                <w:sz w:val="24"/>
                <w:szCs w:val="24"/>
              </w:rPr>
              <w:t>ПОКАЗАТЕЛЬ</w:t>
            </w:r>
          </w:p>
        </w:tc>
        <w:tc>
          <w:tcPr>
            <w:tcW w:w="2938"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0E1791DE" w14:textId="77777777" w:rsidR="000C1E0E" w:rsidRDefault="000C1E0E" w:rsidP="0098752B">
            <w:pPr>
              <w:spacing w:line="240" w:lineRule="auto"/>
              <w:jc w:val="center"/>
              <w:rPr>
                <w:sz w:val="24"/>
                <w:szCs w:val="24"/>
              </w:rPr>
            </w:pPr>
            <w:r>
              <w:rPr>
                <w:sz w:val="24"/>
                <w:szCs w:val="24"/>
              </w:rPr>
              <w:t>ФОРМУЛА</w:t>
            </w:r>
          </w:p>
        </w:tc>
        <w:tc>
          <w:tcPr>
            <w:tcW w:w="889"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3943A905" w14:textId="77777777" w:rsidR="000C1E0E" w:rsidRDefault="000C1E0E" w:rsidP="0098752B">
            <w:pPr>
              <w:spacing w:line="240" w:lineRule="auto"/>
              <w:jc w:val="center"/>
              <w:rPr>
                <w:sz w:val="24"/>
                <w:szCs w:val="24"/>
              </w:rPr>
            </w:pPr>
            <w:r>
              <w:rPr>
                <w:sz w:val="24"/>
                <w:szCs w:val="24"/>
              </w:rPr>
              <w:t>ВЕС</w:t>
            </w:r>
          </w:p>
        </w:tc>
        <w:tc>
          <w:tcPr>
            <w:tcW w:w="1843"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73B80792" w14:textId="77777777" w:rsidR="000C1E0E" w:rsidRDefault="000C1E0E" w:rsidP="0098752B">
            <w:pPr>
              <w:spacing w:line="240" w:lineRule="auto"/>
              <w:jc w:val="center"/>
              <w:rPr>
                <w:sz w:val="24"/>
                <w:szCs w:val="24"/>
              </w:rPr>
            </w:pPr>
            <w:r>
              <w:rPr>
                <w:sz w:val="24"/>
                <w:szCs w:val="24"/>
              </w:rPr>
              <w:t>ЗНАЧЕНИЕ</w:t>
            </w:r>
          </w:p>
        </w:tc>
        <w:tc>
          <w:tcPr>
            <w:tcW w:w="1179" w:type="dxa"/>
            <w:tcBorders>
              <w:top w:val="single" w:sz="12" w:space="0" w:color="auto"/>
              <w:left w:val="single" w:sz="6" w:space="0" w:color="auto"/>
              <w:bottom w:val="single" w:sz="12" w:space="0" w:color="auto"/>
              <w:right w:val="single" w:sz="12" w:space="0" w:color="auto"/>
            </w:tcBorders>
            <w:shd w:val="pct20" w:color="C0C0C0" w:fill="auto"/>
            <w:vAlign w:val="center"/>
            <w:hideMark/>
          </w:tcPr>
          <w:p w14:paraId="7607554F" w14:textId="77777777" w:rsidR="000C1E0E" w:rsidRDefault="000C1E0E" w:rsidP="0098752B">
            <w:pPr>
              <w:spacing w:line="240" w:lineRule="auto"/>
              <w:jc w:val="center"/>
              <w:rPr>
                <w:sz w:val="24"/>
                <w:szCs w:val="24"/>
              </w:rPr>
            </w:pPr>
            <w:r>
              <w:rPr>
                <w:sz w:val="24"/>
                <w:szCs w:val="24"/>
              </w:rPr>
              <w:t>БАЛЛ</w:t>
            </w:r>
          </w:p>
        </w:tc>
      </w:tr>
      <w:tr w:rsidR="000C1E0E" w14:paraId="6AB18115" w14:textId="77777777" w:rsidTr="0098752B">
        <w:trPr>
          <w:trHeight w:val="270"/>
          <w:jc w:val="center"/>
        </w:trPr>
        <w:tc>
          <w:tcPr>
            <w:tcW w:w="2599" w:type="dxa"/>
            <w:vMerge w:val="restart"/>
            <w:tcBorders>
              <w:top w:val="single" w:sz="12" w:space="0" w:color="auto"/>
              <w:left w:val="single" w:sz="12" w:space="0" w:color="auto"/>
              <w:bottom w:val="single" w:sz="12" w:space="0" w:color="auto"/>
              <w:right w:val="single" w:sz="6" w:space="0" w:color="auto"/>
            </w:tcBorders>
            <w:vAlign w:val="center"/>
            <w:hideMark/>
          </w:tcPr>
          <w:p w14:paraId="24AC9CF5" w14:textId="77777777" w:rsidR="000C1E0E" w:rsidRDefault="000C1E0E" w:rsidP="0098752B">
            <w:pPr>
              <w:spacing w:line="240" w:lineRule="auto"/>
              <w:jc w:val="center"/>
              <w:rPr>
                <w:sz w:val="24"/>
                <w:szCs w:val="24"/>
              </w:rPr>
            </w:pPr>
            <w:r>
              <w:rPr>
                <w:sz w:val="24"/>
                <w:szCs w:val="24"/>
              </w:rPr>
              <w:t>Изменение активов</w:t>
            </w:r>
          </w:p>
        </w:tc>
        <w:tc>
          <w:tcPr>
            <w:tcW w:w="2938" w:type="dxa"/>
            <w:vMerge w:val="restart"/>
            <w:tcBorders>
              <w:top w:val="single" w:sz="12" w:space="0" w:color="auto"/>
              <w:left w:val="single" w:sz="6" w:space="0" w:color="auto"/>
              <w:bottom w:val="single" w:sz="12" w:space="0" w:color="auto"/>
              <w:right w:val="single" w:sz="6" w:space="0" w:color="auto"/>
            </w:tcBorders>
            <w:vAlign w:val="center"/>
            <w:hideMark/>
          </w:tcPr>
          <w:p w14:paraId="0D0E3488" w14:textId="77777777" w:rsidR="000C1E0E" w:rsidRDefault="000C1E0E" w:rsidP="0098752B">
            <w:pPr>
              <w:spacing w:line="240" w:lineRule="auto"/>
              <w:jc w:val="center"/>
              <w:rPr>
                <w:sz w:val="24"/>
                <w:szCs w:val="24"/>
              </w:rPr>
            </w:pPr>
            <w:r>
              <w:rPr>
                <w:sz w:val="24"/>
                <w:szCs w:val="24"/>
              </w:rPr>
              <w:t>[[Активы на отчётный период] - [Активы на предыдущий период]] / [Активы на предыдущий период]</w:t>
            </w:r>
          </w:p>
        </w:tc>
        <w:tc>
          <w:tcPr>
            <w:tcW w:w="889" w:type="dxa"/>
            <w:vMerge w:val="restart"/>
            <w:tcBorders>
              <w:top w:val="single" w:sz="12" w:space="0" w:color="auto"/>
              <w:left w:val="single" w:sz="6" w:space="0" w:color="auto"/>
              <w:bottom w:val="single" w:sz="12" w:space="0" w:color="auto"/>
              <w:right w:val="single" w:sz="6" w:space="0" w:color="auto"/>
            </w:tcBorders>
            <w:vAlign w:val="center"/>
            <w:hideMark/>
          </w:tcPr>
          <w:p w14:paraId="7501EA7E" w14:textId="77777777" w:rsidR="000C1E0E" w:rsidRDefault="000C1E0E" w:rsidP="0098752B">
            <w:pPr>
              <w:spacing w:line="240" w:lineRule="auto"/>
              <w:jc w:val="center"/>
              <w:rPr>
                <w:sz w:val="24"/>
                <w:szCs w:val="24"/>
              </w:rPr>
            </w:pPr>
            <w:r>
              <w:rPr>
                <w:sz w:val="24"/>
                <w:szCs w:val="24"/>
              </w:rPr>
              <w:t>20%</w:t>
            </w:r>
          </w:p>
        </w:tc>
        <w:tc>
          <w:tcPr>
            <w:tcW w:w="1843" w:type="dxa"/>
            <w:tcBorders>
              <w:top w:val="single" w:sz="12" w:space="0" w:color="auto"/>
              <w:left w:val="single" w:sz="6" w:space="0" w:color="auto"/>
              <w:bottom w:val="single" w:sz="6" w:space="0" w:color="auto"/>
              <w:right w:val="single" w:sz="6" w:space="0" w:color="auto"/>
            </w:tcBorders>
            <w:hideMark/>
          </w:tcPr>
          <w:p w14:paraId="658DE09A" w14:textId="77777777" w:rsidR="000C1E0E" w:rsidRDefault="000C1E0E" w:rsidP="0098752B">
            <w:pPr>
              <w:spacing w:line="240" w:lineRule="auto"/>
              <w:jc w:val="center"/>
              <w:rPr>
                <w:sz w:val="24"/>
                <w:szCs w:val="24"/>
              </w:rPr>
            </w:pPr>
            <w:r>
              <w:rPr>
                <w:sz w:val="24"/>
                <w:szCs w:val="24"/>
              </w:rPr>
              <w:t>выше 0%</w:t>
            </w:r>
          </w:p>
        </w:tc>
        <w:tc>
          <w:tcPr>
            <w:tcW w:w="1179" w:type="dxa"/>
            <w:tcBorders>
              <w:top w:val="single" w:sz="12" w:space="0" w:color="auto"/>
              <w:left w:val="single" w:sz="6" w:space="0" w:color="auto"/>
              <w:bottom w:val="single" w:sz="6" w:space="0" w:color="auto"/>
              <w:right w:val="single" w:sz="12" w:space="0" w:color="auto"/>
            </w:tcBorders>
            <w:vAlign w:val="center"/>
            <w:hideMark/>
          </w:tcPr>
          <w:p w14:paraId="0EEE6551" w14:textId="77777777" w:rsidR="000C1E0E" w:rsidRDefault="000C1E0E" w:rsidP="0098752B">
            <w:pPr>
              <w:spacing w:line="240" w:lineRule="auto"/>
              <w:jc w:val="center"/>
              <w:rPr>
                <w:sz w:val="24"/>
                <w:szCs w:val="24"/>
              </w:rPr>
            </w:pPr>
            <w:r>
              <w:rPr>
                <w:sz w:val="24"/>
                <w:szCs w:val="24"/>
              </w:rPr>
              <w:t>100</w:t>
            </w:r>
          </w:p>
        </w:tc>
      </w:tr>
      <w:tr w:rsidR="000C1E0E" w14:paraId="4437AFC0" w14:textId="77777777" w:rsidTr="0098752B">
        <w:trPr>
          <w:trHeight w:val="27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36B1E65C"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61DF2831"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4915D8A9"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6625A4B5" w14:textId="77777777" w:rsidR="000C1E0E" w:rsidRDefault="000C1E0E" w:rsidP="0098752B">
            <w:pPr>
              <w:spacing w:line="240" w:lineRule="auto"/>
              <w:jc w:val="center"/>
              <w:rPr>
                <w:sz w:val="24"/>
                <w:szCs w:val="24"/>
              </w:rPr>
            </w:pPr>
            <w:r>
              <w:rPr>
                <w:sz w:val="24"/>
                <w:szCs w:val="24"/>
              </w:rPr>
              <w:t>от -5% до 0%</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4D2CA160" w14:textId="77777777" w:rsidR="000C1E0E" w:rsidRDefault="000C1E0E" w:rsidP="0098752B">
            <w:pPr>
              <w:spacing w:line="240" w:lineRule="auto"/>
              <w:jc w:val="center"/>
              <w:rPr>
                <w:sz w:val="24"/>
                <w:szCs w:val="24"/>
              </w:rPr>
            </w:pPr>
            <w:r>
              <w:rPr>
                <w:sz w:val="24"/>
                <w:szCs w:val="24"/>
              </w:rPr>
              <w:t>80</w:t>
            </w:r>
          </w:p>
        </w:tc>
      </w:tr>
      <w:tr w:rsidR="000C1E0E" w14:paraId="7A740692" w14:textId="77777777" w:rsidTr="0098752B">
        <w:trPr>
          <w:trHeight w:val="27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275E245B"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61A57519"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38A2935"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065BAA07" w14:textId="77777777" w:rsidR="000C1E0E" w:rsidRDefault="000C1E0E" w:rsidP="0098752B">
            <w:pPr>
              <w:spacing w:line="240" w:lineRule="auto"/>
              <w:jc w:val="center"/>
              <w:rPr>
                <w:sz w:val="24"/>
                <w:szCs w:val="24"/>
              </w:rPr>
            </w:pPr>
            <w:r>
              <w:rPr>
                <w:sz w:val="24"/>
                <w:szCs w:val="24"/>
              </w:rPr>
              <w:t>от -10% до -5%</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059684DF" w14:textId="77777777" w:rsidR="000C1E0E" w:rsidRDefault="000C1E0E" w:rsidP="0098752B">
            <w:pPr>
              <w:spacing w:line="240" w:lineRule="auto"/>
              <w:jc w:val="center"/>
              <w:rPr>
                <w:sz w:val="24"/>
                <w:szCs w:val="24"/>
              </w:rPr>
            </w:pPr>
            <w:r>
              <w:rPr>
                <w:sz w:val="24"/>
                <w:szCs w:val="24"/>
              </w:rPr>
              <w:t>60</w:t>
            </w:r>
          </w:p>
        </w:tc>
      </w:tr>
      <w:tr w:rsidR="000C1E0E" w14:paraId="3BDFC522" w14:textId="77777777" w:rsidTr="0098752B">
        <w:trPr>
          <w:trHeight w:val="27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502D0BA5"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6B24957A"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75874FAB"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630857F8" w14:textId="77777777" w:rsidR="000C1E0E" w:rsidRDefault="000C1E0E" w:rsidP="0098752B">
            <w:pPr>
              <w:spacing w:line="240" w:lineRule="auto"/>
              <w:jc w:val="center"/>
              <w:rPr>
                <w:sz w:val="24"/>
                <w:szCs w:val="24"/>
              </w:rPr>
            </w:pPr>
            <w:r>
              <w:rPr>
                <w:sz w:val="24"/>
                <w:szCs w:val="24"/>
              </w:rPr>
              <w:t>от -15% до -10%</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5223A0E1" w14:textId="77777777" w:rsidR="000C1E0E" w:rsidRDefault="000C1E0E" w:rsidP="0098752B">
            <w:pPr>
              <w:spacing w:line="240" w:lineRule="auto"/>
              <w:jc w:val="center"/>
              <w:rPr>
                <w:sz w:val="24"/>
                <w:szCs w:val="24"/>
              </w:rPr>
            </w:pPr>
            <w:r>
              <w:rPr>
                <w:sz w:val="24"/>
                <w:szCs w:val="24"/>
              </w:rPr>
              <w:t>40</w:t>
            </w:r>
          </w:p>
        </w:tc>
      </w:tr>
      <w:tr w:rsidR="000C1E0E" w14:paraId="72FF8802" w14:textId="77777777" w:rsidTr="0098752B">
        <w:trPr>
          <w:trHeight w:val="27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129A8AB0"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4DC7338A"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6E111869"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20E267D6" w14:textId="77777777" w:rsidR="000C1E0E" w:rsidRDefault="000C1E0E" w:rsidP="0098752B">
            <w:pPr>
              <w:spacing w:line="240" w:lineRule="auto"/>
              <w:jc w:val="center"/>
              <w:rPr>
                <w:sz w:val="24"/>
                <w:szCs w:val="24"/>
              </w:rPr>
            </w:pPr>
            <w:r>
              <w:rPr>
                <w:sz w:val="24"/>
                <w:szCs w:val="24"/>
              </w:rPr>
              <w:t>от -20% до -15%</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28B6419A" w14:textId="77777777" w:rsidR="000C1E0E" w:rsidRDefault="000C1E0E" w:rsidP="0098752B">
            <w:pPr>
              <w:spacing w:line="240" w:lineRule="auto"/>
              <w:jc w:val="center"/>
              <w:rPr>
                <w:sz w:val="24"/>
                <w:szCs w:val="24"/>
              </w:rPr>
            </w:pPr>
            <w:r>
              <w:rPr>
                <w:sz w:val="24"/>
                <w:szCs w:val="24"/>
              </w:rPr>
              <w:t>20</w:t>
            </w:r>
          </w:p>
        </w:tc>
      </w:tr>
      <w:tr w:rsidR="000C1E0E" w14:paraId="0A98F788" w14:textId="77777777" w:rsidTr="0098752B">
        <w:trPr>
          <w:trHeight w:val="27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5011B77A"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52B89BCF"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0F3E41E6"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12" w:space="0" w:color="auto"/>
              <w:right w:val="single" w:sz="6" w:space="0" w:color="auto"/>
            </w:tcBorders>
            <w:hideMark/>
          </w:tcPr>
          <w:p w14:paraId="6272C508" w14:textId="77777777" w:rsidR="000C1E0E" w:rsidRDefault="000C1E0E" w:rsidP="0098752B">
            <w:pPr>
              <w:spacing w:line="240" w:lineRule="auto"/>
              <w:jc w:val="center"/>
              <w:rPr>
                <w:sz w:val="24"/>
                <w:szCs w:val="24"/>
              </w:rPr>
            </w:pPr>
            <w:r>
              <w:rPr>
                <w:sz w:val="24"/>
                <w:szCs w:val="24"/>
              </w:rPr>
              <w:t>до -20%</w:t>
            </w:r>
          </w:p>
        </w:tc>
        <w:tc>
          <w:tcPr>
            <w:tcW w:w="1179" w:type="dxa"/>
            <w:tcBorders>
              <w:top w:val="single" w:sz="6" w:space="0" w:color="auto"/>
              <w:left w:val="single" w:sz="6" w:space="0" w:color="auto"/>
              <w:bottom w:val="single" w:sz="12" w:space="0" w:color="auto"/>
              <w:right w:val="single" w:sz="12" w:space="0" w:color="auto"/>
            </w:tcBorders>
            <w:vAlign w:val="center"/>
            <w:hideMark/>
          </w:tcPr>
          <w:p w14:paraId="67FDB1C0" w14:textId="77777777" w:rsidR="000C1E0E" w:rsidRDefault="000C1E0E" w:rsidP="0098752B">
            <w:pPr>
              <w:spacing w:line="240" w:lineRule="auto"/>
              <w:jc w:val="center"/>
              <w:rPr>
                <w:sz w:val="24"/>
                <w:szCs w:val="24"/>
              </w:rPr>
            </w:pPr>
            <w:r>
              <w:rPr>
                <w:sz w:val="24"/>
                <w:szCs w:val="24"/>
              </w:rPr>
              <w:t>0</w:t>
            </w:r>
          </w:p>
        </w:tc>
      </w:tr>
      <w:tr w:rsidR="000C1E0E" w14:paraId="65484969" w14:textId="77777777" w:rsidTr="0098752B">
        <w:trPr>
          <w:trHeight w:val="180"/>
          <w:jc w:val="center"/>
        </w:trPr>
        <w:tc>
          <w:tcPr>
            <w:tcW w:w="2599" w:type="dxa"/>
            <w:vMerge w:val="restart"/>
            <w:tcBorders>
              <w:top w:val="single" w:sz="12" w:space="0" w:color="auto"/>
              <w:left w:val="single" w:sz="12" w:space="0" w:color="auto"/>
              <w:bottom w:val="single" w:sz="12" w:space="0" w:color="auto"/>
              <w:right w:val="single" w:sz="6" w:space="0" w:color="auto"/>
            </w:tcBorders>
            <w:vAlign w:val="center"/>
            <w:hideMark/>
          </w:tcPr>
          <w:p w14:paraId="295CDBA6" w14:textId="77777777" w:rsidR="000C1E0E" w:rsidRDefault="000C1E0E" w:rsidP="0098752B">
            <w:pPr>
              <w:spacing w:line="240" w:lineRule="auto"/>
              <w:jc w:val="center"/>
              <w:rPr>
                <w:sz w:val="24"/>
                <w:szCs w:val="24"/>
              </w:rPr>
            </w:pPr>
            <w:r>
              <w:rPr>
                <w:sz w:val="24"/>
                <w:szCs w:val="24"/>
              </w:rPr>
              <w:t>Собственный капитал / Активы</w:t>
            </w:r>
          </w:p>
        </w:tc>
        <w:tc>
          <w:tcPr>
            <w:tcW w:w="2938" w:type="dxa"/>
            <w:vMerge w:val="restart"/>
            <w:tcBorders>
              <w:top w:val="single" w:sz="12" w:space="0" w:color="auto"/>
              <w:left w:val="single" w:sz="6" w:space="0" w:color="auto"/>
              <w:bottom w:val="single" w:sz="12" w:space="0" w:color="auto"/>
              <w:right w:val="single" w:sz="6" w:space="0" w:color="auto"/>
            </w:tcBorders>
            <w:vAlign w:val="center"/>
            <w:hideMark/>
          </w:tcPr>
          <w:p w14:paraId="6A632E78" w14:textId="77777777" w:rsidR="000C1E0E" w:rsidRDefault="000C1E0E" w:rsidP="0098752B">
            <w:pPr>
              <w:spacing w:line="240" w:lineRule="auto"/>
              <w:jc w:val="center"/>
              <w:rPr>
                <w:sz w:val="24"/>
                <w:szCs w:val="24"/>
              </w:rPr>
            </w:pPr>
            <w:r>
              <w:rPr>
                <w:sz w:val="24"/>
                <w:szCs w:val="24"/>
              </w:rPr>
              <w:t>[Собственный капитал на отчётный период] / [Итог баланса на отчётный период]</w:t>
            </w:r>
          </w:p>
        </w:tc>
        <w:tc>
          <w:tcPr>
            <w:tcW w:w="889" w:type="dxa"/>
            <w:vMerge w:val="restart"/>
            <w:tcBorders>
              <w:top w:val="single" w:sz="12" w:space="0" w:color="auto"/>
              <w:left w:val="single" w:sz="6" w:space="0" w:color="auto"/>
              <w:bottom w:val="single" w:sz="12" w:space="0" w:color="auto"/>
              <w:right w:val="single" w:sz="6" w:space="0" w:color="auto"/>
            </w:tcBorders>
            <w:vAlign w:val="center"/>
            <w:hideMark/>
          </w:tcPr>
          <w:p w14:paraId="79FA9026" w14:textId="77777777" w:rsidR="000C1E0E" w:rsidRDefault="000C1E0E" w:rsidP="0098752B">
            <w:pPr>
              <w:spacing w:line="240" w:lineRule="auto"/>
              <w:jc w:val="center"/>
              <w:rPr>
                <w:sz w:val="24"/>
                <w:szCs w:val="24"/>
              </w:rPr>
            </w:pPr>
            <w:r>
              <w:rPr>
                <w:sz w:val="24"/>
                <w:szCs w:val="24"/>
              </w:rPr>
              <w:t>20%</w:t>
            </w:r>
          </w:p>
        </w:tc>
        <w:tc>
          <w:tcPr>
            <w:tcW w:w="1843" w:type="dxa"/>
            <w:tcBorders>
              <w:top w:val="single" w:sz="12" w:space="0" w:color="auto"/>
              <w:left w:val="single" w:sz="6" w:space="0" w:color="auto"/>
              <w:bottom w:val="single" w:sz="6" w:space="0" w:color="auto"/>
              <w:right w:val="single" w:sz="6" w:space="0" w:color="auto"/>
            </w:tcBorders>
            <w:hideMark/>
          </w:tcPr>
          <w:p w14:paraId="1C790ADA" w14:textId="77777777" w:rsidR="000C1E0E" w:rsidRDefault="000C1E0E" w:rsidP="0098752B">
            <w:pPr>
              <w:spacing w:line="240" w:lineRule="auto"/>
              <w:jc w:val="center"/>
              <w:rPr>
                <w:sz w:val="24"/>
                <w:szCs w:val="24"/>
              </w:rPr>
            </w:pPr>
            <w:r>
              <w:rPr>
                <w:sz w:val="24"/>
                <w:szCs w:val="24"/>
              </w:rPr>
              <w:t>выше 20%</w:t>
            </w:r>
          </w:p>
        </w:tc>
        <w:tc>
          <w:tcPr>
            <w:tcW w:w="1179" w:type="dxa"/>
            <w:tcBorders>
              <w:top w:val="single" w:sz="12" w:space="0" w:color="auto"/>
              <w:left w:val="single" w:sz="6" w:space="0" w:color="auto"/>
              <w:bottom w:val="single" w:sz="6" w:space="0" w:color="auto"/>
              <w:right w:val="single" w:sz="12" w:space="0" w:color="auto"/>
            </w:tcBorders>
            <w:vAlign w:val="center"/>
            <w:hideMark/>
          </w:tcPr>
          <w:p w14:paraId="6AA20936" w14:textId="77777777" w:rsidR="000C1E0E" w:rsidRDefault="000C1E0E" w:rsidP="0098752B">
            <w:pPr>
              <w:spacing w:line="240" w:lineRule="auto"/>
              <w:jc w:val="center"/>
              <w:rPr>
                <w:sz w:val="24"/>
                <w:szCs w:val="24"/>
              </w:rPr>
            </w:pPr>
            <w:r>
              <w:rPr>
                <w:sz w:val="24"/>
                <w:szCs w:val="24"/>
              </w:rPr>
              <w:t>100</w:t>
            </w:r>
          </w:p>
        </w:tc>
      </w:tr>
      <w:tr w:rsidR="000C1E0E" w14:paraId="666A50D2" w14:textId="77777777" w:rsidTr="0098752B">
        <w:trPr>
          <w:trHeight w:val="18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21353775"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119D5614"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5BFBF72F"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6C46AF92" w14:textId="77777777" w:rsidR="000C1E0E" w:rsidRDefault="000C1E0E" w:rsidP="0098752B">
            <w:pPr>
              <w:spacing w:line="240" w:lineRule="auto"/>
              <w:jc w:val="center"/>
              <w:rPr>
                <w:sz w:val="24"/>
                <w:szCs w:val="24"/>
              </w:rPr>
            </w:pPr>
            <w:r>
              <w:rPr>
                <w:sz w:val="24"/>
                <w:szCs w:val="24"/>
              </w:rPr>
              <w:t>от 16% до 20%</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6ECA6AA6" w14:textId="77777777" w:rsidR="000C1E0E" w:rsidRDefault="000C1E0E" w:rsidP="0098752B">
            <w:pPr>
              <w:spacing w:line="240" w:lineRule="auto"/>
              <w:jc w:val="center"/>
              <w:rPr>
                <w:sz w:val="24"/>
                <w:szCs w:val="24"/>
              </w:rPr>
            </w:pPr>
            <w:r>
              <w:rPr>
                <w:sz w:val="24"/>
                <w:szCs w:val="24"/>
              </w:rPr>
              <w:t>80</w:t>
            </w:r>
          </w:p>
        </w:tc>
      </w:tr>
      <w:tr w:rsidR="000C1E0E" w14:paraId="330F6566" w14:textId="77777777" w:rsidTr="0098752B">
        <w:trPr>
          <w:trHeight w:val="18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17AB857F"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A2D209F"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049322E"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3316CDF4" w14:textId="77777777" w:rsidR="000C1E0E" w:rsidRDefault="000C1E0E" w:rsidP="0098752B">
            <w:pPr>
              <w:spacing w:line="240" w:lineRule="auto"/>
              <w:jc w:val="center"/>
              <w:rPr>
                <w:sz w:val="24"/>
                <w:szCs w:val="24"/>
              </w:rPr>
            </w:pPr>
            <w:r>
              <w:rPr>
                <w:sz w:val="24"/>
                <w:szCs w:val="24"/>
              </w:rPr>
              <w:t>от 12% до 16%</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0CE7C8CF" w14:textId="77777777" w:rsidR="000C1E0E" w:rsidRDefault="000C1E0E" w:rsidP="0098752B">
            <w:pPr>
              <w:spacing w:line="240" w:lineRule="auto"/>
              <w:jc w:val="center"/>
              <w:rPr>
                <w:sz w:val="24"/>
                <w:szCs w:val="24"/>
              </w:rPr>
            </w:pPr>
            <w:r>
              <w:rPr>
                <w:sz w:val="24"/>
                <w:szCs w:val="24"/>
              </w:rPr>
              <w:t>60</w:t>
            </w:r>
          </w:p>
        </w:tc>
      </w:tr>
      <w:tr w:rsidR="000C1E0E" w14:paraId="75259CA1" w14:textId="77777777" w:rsidTr="0098752B">
        <w:trPr>
          <w:trHeight w:val="18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70B1B65F"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6CAE3CD1"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736003C0"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457CD742" w14:textId="77777777" w:rsidR="000C1E0E" w:rsidRDefault="000C1E0E" w:rsidP="0098752B">
            <w:pPr>
              <w:spacing w:line="240" w:lineRule="auto"/>
              <w:jc w:val="center"/>
              <w:rPr>
                <w:sz w:val="24"/>
                <w:szCs w:val="24"/>
              </w:rPr>
            </w:pPr>
            <w:r>
              <w:rPr>
                <w:sz w:val="24"/>
                <w:szCs w:val="24"/>
              </w:rPr>
              <w:t>от 8% до 12%</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615AD837" w14:textId="77777777" w:rsidR="000C1E0E" w:rsidRDefault="000C1E0E" w:rsidP="0098752B">
            <w:pPr>
              <w:spacing w:line="240" w:lineRule="auto"/>
              <w:jc w:val="center"/>
              <w:rPr>
                <w:sz w:val="24"/>
                <w:szCs w:val="24"/>
              </w:rPr>
            </w:pPr>
            <w:r>
              <w:rPr>
                <w:sz w:val="24"/>
                <w:szCs w:val="24"/>
              </w:rPr>
              <w:t>40</w:t>
            </w:r>
          </w:p>
        </w:tc>
      </w:tr>
      <w:tr w:rsidR="000C1E0E" w14:paraId="6EEFE588" w14:textId="77777777" w:rsidTr="0098752B">
        <w:trPr>
          <w:trHeight w:val="18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3EF6C6D9"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1C373E23"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0E578D40"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4FD27D22" w14:textId="77777777" w:rsidR="000C1E0E" w:rsidRDefault="000C1E0E" w:rsidP="0098752B">
            <w:pPr>
              <w:spacing w:line="240" w:lineRule="auto"/>
              <w:jc w:val="center"/>
              <w:rPr>
                <w:sz w:val="24"/>
                <w:szCs w:val="24"/>
              </w:rPr>
            </w:pPr>
            <w:r>
              <w:rPr>
                <w:sz w:val="24"/>
                <w:szCs w:val="24"/>
              </w:rPr>
              <w:t>от 4% до 8%</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5917539F" w14:textId="77777777" w:rsidR="000C1E0E" w:rsidRDefault="000C1E0E" w:rsidP="0098752B">
            <w:pPr>
              <w:spacing w:line="240" w:lineRule="auto"/>
              <w:jc w:val="center"/>
              <w:rPr>
                <w:sz w:val="24"/>
                <w:szCs w:val="24"/>
              </w:rPr>
            </w:pPr>
            <w:r>
              <w:rPr>
                <w:sz w:val="24"/>
                <w:szCs w:val="24"/>
              </w:rPr>
              <w:t>20</w:t>
            </w:r>
          </w:p>
        </w:tc>
      </w:tr>
      <w:tr w:rsidR="000C1E0E" w14:paraId="324F8E31" w14:textId="77777777" w:rsidTr="0098752B">
        <w:trPr>
          <w:trHeight w:val="18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04458C65"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7B27A713"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3B41806F"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12" w:space="0" w:color="auto"/>
              <w:right w:val="single" w:sz="6" w:space="0" w:color="auto"/>
            </w:tcBorders>
            <w:hideMark/>
          </w:tcPr>
          <w:p w14:paraId="5AE8F7D1" w14:textId="77777777" w:rsidR="000C1E0E" w:rsidRDefault="000C1E0E" w:rsidP="0098752B">
            <w:pPr>
              <w:spacing w:line="240" w:lineRule="auto"/>
              <w:jc w:val="center"/>
              <w:rPr>
                <w:sz w:val="24"/>
                <w:szCs w:val="24"/>
              </w:rPr>
            </w:pPr>
            <w:r>
              <w:rPr>
                <w:sz w:val="24"/>
                <w:szCs w:val="24"/>
              </w:rPr>
              <w:t>меньше 4%</w:t>
            </w:r>
          </w:p>
        </w:tc>
        <w:tc>
          <w:tcPr>
            <w:tcW w:w="1179" w:type="dxa"/>
            <w:tcBorders>
              <w:top w:val="single" w:sz="6" w:space="0" w:color="auto"/>
              <w:left w:val="single" w:sz="6" w:space="0" w:color="auto"/>
              <w:bottom w:val="single" w:sz="12" w:space="0" w:color="auto"/>
              <w:right w:val="single" w:sz="12" w:space="0" w:color="auto"/>
            </w:tcBorders>
            <w:vAlign w:val="center"/>
            <w:hideMark/>
          </w:tcPr>
          <w:p w14:paraId="3677F06E" w14:textId="77777777" w:rsidR="000C1E0E" w:rsidRDefault="000C1E0E" w:rsidP="0098752B">
            <w:pPr>
              <w:spacing w:line="240" w:lineRule="auto"/>
              <w:jc w:val="center"/>
              <w:rPr>
                <w:sz w:val="24"/>
                <w:szCs w:val="24"/>
              </w:rPr>
            </w:pPr>
            <w:r>
              <w:rPr>
                <w:sz w:val="24"/>
                <w:szCs w:val="24"/>
              </w:rPr>
              <w:t>0</w:t>
            </w:r>
          </w:p>
        </w:tc>
      </w:tr>
      <w:tr w:rsidR="000C1E0E" w14:paraId="6AE2BA90" w14:textId="77777777" w:rsidTr="0098752B">
        <w:trPr>
          <w:trHeight w:val="270"/>
          <w:jc w:val="center"/>
        </w:trPr>
        <w:tc>
          <w:tcPr>
            <w:tcW w:w="2599" w:type="dxa"/>
            <w:vMerge w:val="restart"/>
            <w:tcBorders>
              <w:top w:val="single" w:sz="12" w:space="0" w:color="auto"/>
              <w:left w:val="single" w:sz="12" w:space="0" w:color="auto"/>
              <w:bottom w:val="single" w:sz="12" w:space="0" w:color="auto"/>
              <w:right w:val="single" w:sz="6" w:space="0" w:color="auto"/>
            </w:tcBorders>
            <w:vAlign w:val="center"/>
            <w:hideMark/>
          </w:tcPr>
          <w:p w14:paraId="310ECCA9" w14:textId="77777777" w:rsidR="000C1E0E" w:rsidRDefault="000C1E0E" w:rsidP="0098752B">
            <w:pPr>
              <w:spacing w:line="240" w:lineRule="auto"/>
              <w:jc w:val="center"/>
              <w:rPr>
                <w:sz w:val="24"/>
                <w:szCs w:val="24"/>
              </w:rPr>
            </w:pPr>
            <w:r>
              <w:rPr>
                <w:sz w:val="24"/>
                <w:szCs w:val="24"/>
              </w:rPr>
              <w:t>Рентабельность капитала</w:t>
            </w:r>
          </w:p>
        </w:tc>
        <w:tc>
          <w:tcPr>
            <w:tcW w:w="2938" w:type="dxa"/>
            <w:vMerge w:val="restart"/>
            <w:tcBorders>
              <w:top w:val="single" w:sz="12" w:space="0" w:color="auto"/>
              <w:left w:val="single" w:sz="6" w:space="0" w:color="auto"/>
              <w:bottom w:val="single" w:sz="12" w:space="0" w:color="auto"/>
              <w:right w:val="single" w:sz="6" w:space="0" w:color="auto"/>
            </w:tcBorders>
            <w:vAlign w:val="center"/>
            <w:hideMark/>
          </w:tcPr>
          <w:p w14:paraId="1FCE4796" w14:textId="77777777" w:rsidR="000C1E0E" w:rsidRDefault="000C1E0E" w:rsidP="0098752B">
            <w:pPr>
              <w:spacing w:line="240" w:lineRule="auto"/>
              <w:jc w:val="center"/>
              <w:rPr>
                <w:sz w:val="24"/>
                <w:szCs w:val="24"/>
              </w:rPr>
            </w:pPr>
            <w:r>
              <w:rPr>
                <w:sz w:val="24"/>
                <w:szCs w:val="24"/>
              </w:rPr>
              <w:t>[Чистая прибыль за год] / [Среднеарифметическая сумма собственного капитала на начало и конец отчётного периода]</w:t>
            </w:r>
          </w:p>
        </w:tc>
        <w:tc>
          <w:tcPr>
            <w:tcW w:w="889" w:type="dxa"/>
            <w:vMerge w:val="restart"/>
            <w:tcBorders>
              <w:top w:val="single" w:sz="12" w:space="0" w:color="auto"/>
              <w:left w:val="single" w:sz="6" w:space="0" w:color="auto"/>
              <w:bottom w:val="single" w:sz="12" w:space="0" w:color="auto"/>
              <w:right w:val="single" w:sz="6" w:space="0" w:color="auto"/>
            </w:tcBorders>
            <w:vAlign w:val="center"/>
            <w:hideMark/>
          </w:tcPr>
          <w:p w14:paraId="479D1750" w14:textId="77777777" w:rsidR="000C1E0E" w:rsidRDefault="000C1E0E" w:rsidP="0098752B">
            <w:pPr>
              <w:spacing w:line="240" w:lineRule="auto"/>
              <w:jc w:val="center"/>
              <w:rPr>
                <w:sz w:val="24"/>
                <w:szCs w:val="24"/>
              </w:rPr>
            </w:pPr>
            <w:r>
              <w:rPr>
                <w:sz w:val="24"/>
                <w:szCs w:val="24"/>
              </w:rPr>
              <w:t>20%</w:t>
            </w:r>
          </w:p>
        </w:tc>
        <w:tc>
          <w:tcPr>
            <w:tcW w:w="1843" w:type="dxa"/>
            <w:tcBorders>
              <w:top w:val="single" w:sz="12" w:space="0" w:color="auto"/>
              <w:left w:val="single" w:sz="6" w:space="0" w:color="auto"/>
              <w:bottom w:val="single" w:sz="6" w:space="0" w:color="auto"/>
              <w:right w:val="single" w:sz="6" w:space="0" w:color="auto"/>
            </w:tcBorders>
            <w:hideMark/>
          </w:tcPr>
          <w:p w14:paraId="70943F63" w14:textId="77777777" w:rsidR="000C1E0E" w:rsidRDefault="000C1E0E" w:rsidP="0098752B">
            <w:pPr>
              <w:spacing w:line="240" w:lineRule="auto"/>
              <w:jc w:val="center"/>
              <w:rPr>
                <w:sz w:val="24"/>
                <w:szCs w:val="24"/>
              </w:rPr>
            </w:pPr>
            <w:r>
              <w:rPr>
                <w:sz w:val="24"/>
                <w:szCs w:val="24"/>
              </w:rPr>
              <w:t>выше 20%</w:t>
            </w:r>
          </w:p>
        </w:tc>
        <w:tc>
          <w:tcPr>
            <w:tcW w:w="1179" w:type="dxa"/>
            <w:tcBorders>
              <w:top w:val="single" w:sz="12" w:space="0" w:color="auto"/>
              <w:left w:val="single" w:sz="6" w:space="0" w:color="auto"/>
              <w:bottom w:val="single" w:sz="6" w:space="0" w:color="auto"/>
              <w:right w:val="single" w:sz="12" w:space="0" w:color="auto"/>
            </w:tcBorders>
            <w:vAlign w:val="center"/>
            <w:hideMark/>
          </w:tcPr>
          <w:p w14:paraId="0250A551" w14:textId="77777777" w:rsidR="000C1E0E" w:rsidRDefault="000C1E0E" w:rsidP="0098752B">
            <w:pPr>
              <w:spacing w:line="240" w:lineRule="auto"/>
              <w:jc w:val="center"/>
              <w:rPr>
                <w:sz w:val="24"/>
                <w:szCs w:val="24"/>
              </w:rPr>
            </w:pPr>
            <w:r>
              <w:rPr>
                <w:sz w:val="24"/>
                <w:szCs w:val="24"/>
              </w:rPr>
              <w:t>100</w:t>
            </w:r>
          </w:p>
        </w:tc>
      </w:tr>
      <w:tr w:rsidR="000C1E0E" w14:paraId="253B113A" w14:textId="77777777" w:rsidTr="0098752B">
        <w:trPr>
          <w:trHeight w:val="267"/>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171C119D"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ADC82A3"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688C6F72"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6E9C4626" w14:textId="77777777" w:rsidR="000C1E0E" w:rsidRDefault="000C1E0E" w:rsidP="0098752B">
            <w:pPr>
              <w:spacing w:line="240" w:lineRule="auto"/>
              <w:jc w:val="center"/>
              <w:rPr>
                <w:sz w:val="24"/>
                <w:szCs w:val="24"/>
              </w:rPr>
            </w:pPr>
            <w:r>
              <w:rPr>
                <w:sz w:val="24"/>
                <w:szCs w:val="24"/>
              </w:rPr>
              <w:t>от 15% до 20%</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7C3C028F" w14:textId="77777777" w:rsidR="000C1E0E" w:rsidRDefault="000C1E0E" w:rsidP="0098752B">
            <w:pPr>
              <w:spacing w:line="240" w:lineRule="auto"/>
              <w:jc w:val="center"/>
              <w:rPr>
                <w:sz w:val="24"/>
                <w:szCs w:val="24"/>
              </w:rPr>
            </w:pPr>
            <w:r>
              <w:rPr>
                <w:sz w:val="24"/>
                <w:szCs w:val="24"/>
              </w:rPr>
              <w:t>80</w:t>
            </w:r>
          </w:p>
        </w:tc>
      </w:tr>
      <w:tr w:rsidR="000C1E0E" w14:paraId="791537B2" w14:textId="77777777" w:rsidTr="0098752B">
        <w:trPr>
          <w:trHeight w:val="267"/>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6610997D"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5DD2BD3"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30E70835"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2A32A8D4" w14:textId="77777777" w:rsidR="000C1E0E" w:rsidRDefault="000C1E0E" w:rsidP="0098752B">
            <w:pPr>
              <w:spacing w:line="240" w:lineRule="auto"/>
              <w:jc w:val="center"/>
              <w:rPr>
                <w:sz w:val="24"/>
                <w:szCs w:val="24"/>
              </w:rPr>
            </w:pPr>
            <w:r>
              <w:rPr>
                <w:sz w:val="24"/>
                <w:szCs w:val="24"/>
              </w:rPr>
              <w:t>от 10% до 15%</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7483A31B" w14:textId="77777777" w:rsidR="000C1E0E" w:rsidRDefault="000C1E0E" w:rsidP="0098752B">
            <w:pPr>
              <w:spacing w:line="240" w:lineRule="auto"/>
              <w:jc w:val="center"/>
              <w:rPr>
                <w:sz w:val="24"/>
                <w:szCs w:val="24"/>
              </w:rPr>
            </w:pPr>
            <w:r>
              <w:rPr>
                <w:sz w:val="24"/>
                <w:szCs w:val="24"/>
              </w:rPr>
              <w:t>60</w:t>
            </w:r>
          </w:p>
        </w:tc>
      </w:tr>
      <w:tr w:rsidR="000C1E0E" w14:paraId="674B8395" w14:textId="77777777" w:rsidTr="0098752B">
        <w:trPr>
          <w:trHeight w:val="267"/>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3E068F4A"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1CB3EBD1"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3D6A73EA"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37ED9A52" w14:textId="77777777" w:rsidR="000C1E0E" w:rsidRDefault="000C1E0E" w:rsidP="0098752B">
            <w:pPr>
              <w:spacing w:line="240" w:lineRule="auto"/>
              <w:jc w:val="center"/>
              <w:rPr>
                <w:sz w:val="24"/>
                <w:szCs w:val="24"/>
              </w:rPr>
            </w:pPr>
            <w:r>
              <w:rPr>
                <w:sz w:val="24"/>
                <w:szCs w:val="24"/>
              </w:rPr>
              <w:t>от 5% до 10%</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31460C1D" w14:textId="77777777" w:rsidR="000C1E0E" w:rsidRDefault="000C1E0E" w:rsidP="0098752B">
            <w:pPr>
              <w:spacing w:line="240" w:lineRule="auto"/>
              <w:jc w:val="center"/>
              <w:rPr>
                <w:sz w:val="24"/>
                <w:szCs w:val="24"/>
              </w:rPr>
            </w:pPr>
            <w:r>
              <w:rPr>
                <w:sz w:val="24"/>
                <w:szCs w:val="24"/>
              </w:rPr>
              <w:t>40</w:t>
            </w:r>
          </w:p>
        </w:tc>
      </w:tr>
      <w:tr w:rsidR="000C1E0E" w14:paraId="6215D961" w14:textId="77777777" w:rsidTr="0098752B">
        <w:trPr>
          <w:trHeight w:val="267"/>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5703DD2B"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4A48A5FE"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6014E646"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1CD305F1" w14:textId="77777777" w:rsidR="000C1E0E" w:rsidRDefault="000C1E0E" w:rsidP="0098752B">
            <w:pPr>
              <w:spacing w:line="240" w:lineRule="auto"/>
              <w:jc w:val="center"/>
              <w:rPr>
                <w:sz w:val="24"/>
                <w:szCs w:val="24"/>
              </w:rPr>
            </w:pPr>
            <w:r>
              <w:rPr>
                <w:sz w:val="24"/>
                <w:szCs w:val="24"/>
              </w:rPr>
              <w:t>от 0% до 5%</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6697A15A" w14:textId="77777777" w:rsidR="000C1E0E" w:rsidRDefault="000C1E0E" w:rsidP="0098752B">
            <w:pPr>
              <w:spacing w:line="240" w:lineRule="auto"/>
              <w:jc w:val="center"/>
              <w:rPr>
                <w:sz w:val="24"/>
                <w:szCs w:val="24"/>
              </w:rPr>
            </w:pPr>
            <w:r>
              <w:rPr>
                <w:sz w:val="24"/>
                <w:szCs w:val="24"/>
              </w:rPr>
              <w:t>20</w:t>
            </w:r>
          </w:p>
        </w:tc>
      </w:tr>
      <w:tr w:rsidR="000C1E0E" w14:paraId="119FDCE1" w14:textId="77777777" w:rsidTr="0098752B">
        <w:trPr>
          <w:trHeight w:val="267"/>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7B41365A"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0FCF0BEA"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1508D52B"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12" w:space="0" w:color="auto"/>
              <w:right w:val="single" w:sz="6" w:space="0" w:color="auto"/>
            </w:tcBorders>
            <w:hideMark/>
          </w:tcPr>
          <w:p w14:paraId="0EE69F33" w14:textId="77777777" w:rsidR="000C1E0E" w:rsidRDefault="000C1E0E" w:rsidP="0098752B">
            <w:pPr>
              <w:spacing w:line="240" w:lineRule="auto"/>
              <w:jc w:val="center"/>
              <w:rPr>
                <w:sz w:val="24"/>
                <w:szCs w:val="24"/>
              </w:rPr>
            </w:pPr>
            <w:r>
              <w:rPr>
                <w:sz w:val="24"/>
                <w:szCs w:val="24"/>
              </w:rPr>
              <w:t>меньше 0%</w:t>
            </w:r>
          </w:p>
        </w:tc>
        <w:tc>
          <w:tcPr>
            <w:tcW w:w="1179" w:type="dxa"/>
            <w:tcBorders>
              <w:top w:val="single" w:sz="6" w:space="0" w:color="auto"/>
              <w:left w:val="single" w:sz="6" w:space="0" w:color="auto"/>
              <w:bottom w:val="single" w:sz="12" w:space="0" w:color="auto"/>
              <w:right w:val="single" w:sz="12" w:space="0" w:color="auto"/>
            </w:tcBorders>
            <w:vAlign w:val="center"/>
            <w:hideMark/>
          </w:tcPr>
          <w:p w14:paraId="4076336E" w14:textId="77777777" w:rsidR="000C1E0E" w:rsidRDefault="000C1E0E" w:rsidP="0098752B">
            <w:pPr>
              <w:spacing w:line="240" w:lineRule="auto"/>
              <w:jc w:val="center"/>
              <w:rPr>
                <w:sz w:val="24"/>
                <w:szCs w:val="24"/>
              </w:rPr>
            </w:pPr>
            <w:r>
              <w:rPr>
                <w:sz w:val="24"/>
                <w:szCs w:val="24"/>
              </w:rPr>
              <w:t>0</w:t>
            </w:r>
          </w:p>
        </w:tc>
      </w:tr>
      <w:tr w:rsidR="000C1E0E" w14:paraId="556BE86B" w14:textId="77777777" w:rsidTr="0098752B">
        <w:trPr>
          <w:trHeight w:val="135"/>
          <w:jc w:val="center"/>
        </w:trPr>
        <w:tc>
          <w:tcPr>
            <w:tcW w:w="2599" w:type="dxa"/>
            <w:vMerge w:val="restart"/>
            <w:tcBorders>
              <w:top w:val="single" w:sz="12" w:space="0" w:color="auto"/>
              <w:left w:val="single" w:sz="12" w:space="0" w:color="auto"/>
              <w:bottom w:val="single" w:sz="12" w:space="0" w:color="auto"/>
              <w:right w:val="single" w:sz="4" w:space="0" w:color="auto"/>
            </w:tcBorders>
            <w:vAlign w:val="center"/>
            <w:hideMark/>
          </w:tcPr>
          <w:p w14:paraId="3CE95604" w14:textId="77777777" w:rsidR="000C1E0E" w:rsidRDefault="000C1E0E" w:rsidP="0098752B">
            <w:pPr>
              <w:spacing w:line="240" w:lineRule="auto"/>
              <w:jc w:val="center"/>
              <w:rPr>
                <w:sz w:val="24"/>
                <w:szCs w:val="24"/>
              </w:rPr>
            </w:pPr>
            <w:r>
              <w:rPr>
                <w:sz w:val="24"/>
                <w:szCs w:val="24"/>
              </w:rPr>
              <w:t>Рентабельность активов</w:t>
            </w:r>
          </w:p>
        </w:tc>
        <w:tc>
          <w:tcPr>
            <w:tcW w:w="2938" w:type="dxa"/>
            <w:vMerge w:val="restart"/>
            <w:tcBorders>
              <w:top w:val="single" w:sz="12" w:space="0" w:color="auto"/>
              <w:left w:val="single" w:sz="4" w:space="0" w:color="auto"/>
              <w:bottom w:val="single" w:sz="12" w:space="0" w:color="auto"/>
              <w:right w:val="single" w:sz="4" w:space="0" w:color="auto"/>
            </w:tcBorders>
            <w:vAlign w:val="center"/>
            <w:hideMark/>
          </w:tcPr>
          <w:p w14:paraId="5E95ACB8" w14:textId="77777777" w:rsidR="000C1E0E" w:rsidRDefault="000C1E0E" w:rsidP="0098752B">
            <w:pPr>
              <w:spacing w:line="240" w:lineRule="auto"/>
              <w:jc w:val="center"/>
              <w:rPr>
                <w:sz w:val="24"/>
                <w:szCs w:val="24"/>
              </w:rPr>
            </w:pPr>
            <w:r>
              <w:rPr>
                <w:sz w:val="24"/>
                <w:szCs w:val="24"/>
              </w:rPr>
              <w:t>[Чистая прибыль за год] / [Среднеарифметическая сумма активов на начало и конец отчётного периода]</w:t>
            </w:r>
          </w:p>
        </w:tc>
        <w:tc>
          <w:tcPr>
            <w:tcW w:w="889" w:type="dxa"/>
            <w:vMerge w:val="restart"/>
            <w:tcBorders>
              <w:top w:val="single" w:sz="12" w:space="0" w:color="auto"/>
              <w:left w:val="single" w:sz="4" w:space="0" w:color="auto"/>
              <w:bottom w:val="single" w:sz="12" w:space="0" w:color="auto"/>
              <w:right w:val="single" w:sz="4" w:space="0" w:color="auto"/>
            </w:tcBorders>
            <w:vAlign w:val="center"/>
            <w:hideMark/>
          </w:tcPr>
          <w:p w14:paraId="2F1003CF" w14:textId="77777777" w:rsidR="000C1E0E" w:rsidRDefault="000C1E0E" w:rsidP="0098752B">
            <w:pPr>
              <w:spacing w:line="240" w:lineRule="auto"/>
              <w:jc w:val="center"/>
              <w:rPr>
                <w:sz w:val="24"/>
                <w:szCs w:val="24"/>
              </w:rPr>
            </w:pPr>
            <w:r>
              <w:rPr>
                <w:sz w:val="24"/>
                <w:szCs w:val="24"/>
              </w:rPr>
              <w:t>20%</w:t>
            </w:r>
          </w:p>
        </w:tc>
        <w:tc>
          <w:tcPr>
            <w:tcW w:w="1843" w:type="dxa"/>
            <w:tcBorders>
              <w:top w:val="single" w:sz="12" w:space="0" w:color="auto"/>
              <w:left w:val="single" w:sz="4" w:space="0" w:color="auto"/>
              <w:bottom w:val="single" w:sz="4" w:space="0" w:color="auto"/>
              <w:right w:val="single" w:sz="4" w:space="0" w:color="auto"/>
            </w:tcBorders>
            <w:hideMark/>
          </w:tcPr>
          <w:p w14:paraId="146EE46F" w14:textId="77777777" w:rsidR="000C1E0E" w:rsidRDefault="000C1E0E" w:rsidP="0098752B">
            <w:pPr>
              <w:spacing w:line="240" w:lineRule="auto"/>
              <w:jc w:val="center"/>
              <w:rPr>
                <w:sz w:val="24"/>
                <w:szCs w:val="24"/>
              </w:rPr>
            </w:pPr>
            <w:r>
              <w:rPr>
                <w:sz w:val="24"/>
                <w:szCs w:val="24"/>
              </w:rPr>
              <w:t>выше 4%</w:t>
            </w:r>
          </w:p>
        </w:tc>
        <w:tc>
          <w:tcPr>
            <w:tcW w:w="1179" w:type="dxa"/>
            <w:tcBorders>
              <w:top w:val="single" w:sz="12" w:space="0" w:color="auto"/>
              <w:left w:val="single" w:sz="4" w:space="0" w:color="auto"/>
              <w:bottom w:val="single" w:sz="4" w:space="0" w:color="auto"/>
              <w:right w:val="single" w:sz="12" w:space="0" w:color="auto"/>
            </w:tcBorders>
            <w:vAlign w:val="center"/>
            <w:hideMark/>
          </w:tcPr>
          <w:p w14:paraId="7D3E2DB1" w14:textId="77777777" w:rsidR="000C1E0E" w:rsidRDefault="000C1E0E" w:rsidP="0098752B">
            <w:pPr>
              <w:spacing w:line="240" w:lineRule="auto"/>
              <w:jc w:val="center"/>
              <w:rPr>
                <w:sz w:val="24"/>
                <w:szCs w:val="24"/>
              </w:rPr>
            </w:pPr>
            <w:r>
              <w:rPr>
                <w:sz w:val="24"/>
                <w:szCs w:val="24"/>
              </w:rPr>
              <w:t>100</w:t>
            </w:r>
          </w:p>
        </w:tc>
      </w:tr>
      <w:tr w:rsidR="000C1E0E" w14:paraId="499EFE39" w14:textId="77777777" w:rsidTr="0098752B">
        <w:trPr>
          <w:trHeight w:val="135"/>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27C03A26"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14837F27"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13B1A940" w14:textId="77777777" w:rsidR="000C1E0E" w:rsidRDefault="000C1E0E" w:rsidP="0098752B">
            <w:pPr>
              <w:spacing w:line="240" w:lineRule="auto"/>
              <w:jc w:val="left"/>
              <w:rPr>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21B6CAED" w14:textId="77777777" w:rsidR="000C1E0E" w:rsidRDefault="000C1E0E" w:rsidP="0098752B">
            <w:pPr>
              <w:spacing w:line="240" w:lineRule="auto"/>
              <w:jc w:val="center"/>
              <w:rPr>
                <w:sz w:val="24"/>
                <w:szCs w:val="24"/>
              </w:rPr>
            </w:pPr>
            <w:r>
              <w:rPr>
                <w:sz w:val="24"/>
                <w:szCs w:val="24"/>
              </w:rPr>
              <w:t>от 3% до 4%</w:t>
            </w:r>
          </w:p>
        </w:tc>
        <w:tc>
          <w:tcPr>
            <w:tcW w:w="1179" w:type="dxa"/>
            <w:tcBorders>
              <w:top w:val="single" w:sz="4" w:space="0" w:color="auto"/>
              <w:left w:val="single" w:sz="4" w:space="0" w:color="auto"/>
              <w:bottom w:val="single" w:sz="4" w:space="0" w:color="auto"/>
              <w:right w:val="single" w:sz="12" w:space="0" w:color="auto"/>
            </w:tcBorders>
            <w:vAlign w:val="center"/>
            <w:hideMark/>
          </w:tcPr>
          <w:p w14:paraId="7C93B54B" w14:textId="77777777" w:rsidR="000C1E0E" w:rsidRDefault="000C1E0E" w:rsidP="0098752B">
            <w:pPr>
              <w:spacing w:line="240" w:lineRule="auto"/>
              <w:jc w:val="center"/>
              <w:rPr>
                <w:sz w:val="24"/>
                <w:szCs w:val="24"/>
              </w:rPr>
            </w:pPr>
            <w:r>
              <w:rPr>
                <w:sz w:val="24"/>
                <w:szCs w:val="24"/>
              </w:rPr>
              <w:t>80</w:t>
            </w:r>
          </w:p>
        </w:tc>
      </w:tr>
      <w:tr w:rsidR="000C1E0E" w14:paraId="6F981116" w14:textId="77777777" w:rsidTr="0098752B">
        <w:trPr>
          <w:trHeight w:val="135"/>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738BB3D6"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517EFE7E"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0FF61B3E" w14:textId="77777777" w:rsidR="000C1E0E" w:rsidRDefault="000C1E0E" w:rsidP="0098752B">
            <w:pPr>
              <w:spacing w:line="240" w:lineRule="auto"/>
              <w:jc w:val="left"/>
              <w:rPr>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6F7FC97A" w14:textId="77777777" w:rsidR="000C1E0E" w:rsidRDefault="000C1E0E" w:rsidP="0098752B">
            <w:pPr>
              <w:spacing w:line="240" w:lineRule="auto"/>
              <w:jc w:val="center"/>
              <w:rPr>
                <w:sz w:val="24"/>
                <w:szCs w:val="24"/>
              </w:rPr>
            </w:pPr>
            <w:r>
              <w:rPr>
                <w:sz w:val="24"/>
                <w:szCs w:val="24"/>
              </w:rPr>
              <w:t>от 2% до 3%</w:t>
            </w:r>
          </w:p>
        </w:tc>
        <w:tc>
          <w:tcPr>
            <w:tcW w:w="1179" w:type="dxa"/>
            <w:tcBorders>
              <w:top w:val="single" w:sz="4" w:space="0" w:color="auto"/>
              <w:left w:val="single" w:sz="4" w:space="0" w:color="auto"/>
              <w:bottom w:val="single" w:sz="4" w:space="0" w:color="auto"/>
              <w:right w:val="single" w:sz="12" w:space="0" w:color="auto"/>
            </w:tcBorders>
            <w:vAlign w:val="center"/>
            <w:hideMark/>
          </w:tcPr>
          <w:p w14:paraId="146130C1" w14:textId="77777777" w:rsidR="000C1E0E" w:rsidRDefault="000C1E0E" w:rsidP="0098752B">
            <w:pPr>
              <w:spacing w:line="240" w:lineRule="auto"/>
              <w:jc w:val="center"/>
              <w:rPr>
                <w:sz w:val="24"/>
                <w:szCs w:val="24"/>
              </w:rPr>
            </w:pPr>
            <w:r>
              <w:rPr>
                <w:sz w:val="24"/>
                <w:szCs w:val="24"/>
              </w:rPr>
              <w:t>60</w:t>
            </w:r>
          </w:p>
        </w:tc>
      </w:tr>
      <w:tr w:rsidR="000C1E0E" w14:paraId="296C20F4" w14:textId="77777777" w:rsidTr="0098752B">
        <w:trPr>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37D462F1"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69E48B3E"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7FBEC59A" w14:textId="77777777" w:rsidR="000C1E0E" w:rsidRDefault="000C1E0E" w:rsidP="0098752B">
            <w:pPr>
              <w:spacing w:line="240" w:lineRule="auto"/>
              <w:jc w:val="left"/>
              <w:rPr>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54AF9D5B" w14:textId="77777777" w:rsidR="000C1E0E" w:rsidRDefault="000C1E0E" w:rsidP="0098752B">
            <w:pPr>
              <w:spacing w:line="240" w:lineRule="auto"/>
              <w:jc w:val="center"/>
              <w:rPr>
                <w:sz w:val="24"/>
                <w:szCs w:val="24"/>
              </w:rPr>
            </w:pPr>
            <w:r>
              <w:rPr>
                <w:sz w:val="24"/>
                <w:szCs w:val="24"/>
              </w:rPr>
              <w:t>от 1% до 2%</w:t>
            </w:r>
          </w:p>
        </w:tc>
        <w:tc>
          <w:tcPr>
            <w:tcW w:w="1179" w:type="dxa"/>
            <w:tcBorders>
              <w:top w:val="single" w:sz="4" w:space="0" w:color="auto"/>
              <w:left w:val="single" w:sz="4" w:space="0" w:color="auto"/>
              <w:bottom w:val="single" w:sz="4" w:space="0" w:color="auto"/>
              <w:right w:val="single" w:sz="12" w:space="0" w:color="auto"/>
            </w:tcBorders>
            <w:vAlign w:val="center"/>
            <w:hideMark/>
          </w:tcPr>
          <w:p w14:paraId="70348200" w14:textId="77777777" w:rsidR="000C1E0E" w:rsidRDefault="000C1E0E" w:rsidP="0098752B">
            <w:pPr>
              <w:spacing w:line="240" w:lineRule="auto"/>
              <w:jc w:val="center"/>
              <w:rPr>
                <w:sz w:val="24"/>
                <w:szCs w:val="24"/>
              </w:rPr>
            </w:pPr>
            <w:r>
              <w:rPr>
                <w:sz w:val="24"/>
                <w:szCs w:val="24"/>
              </w:rPr>
              <w:t>40</w:t>
            </w:r>
          </w:p>
        </w:tc>
      </w:tr>
      <w:tr w:rsidR="000C1E0E" w14:paraId="4D620345" w14:textId="77777777" w:rsidTr="0098752B">
        <w:trPr>
          <w:trHeight w:val="135"/>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3438FA25"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08E13E8D"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44296A49" w14:textId="77777777" w:rsidR="000C1E0E" w:rsidRDefault="000C1E0E" w:rsidP="0098752B">
            <w:pPr>
              <w:spacing w:line="240" w:lineRule="auto"/>
              <w:jc w:val="left"/>
              <w:rPr>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03DF3BCE" w14:textId="77777777" w:rsidR="000C1E0E" w:rsidRDefault="000C1E0E" w:rsidP="0098752B">
            <w:pPr>
              <w:spacing w:line="240" w:lineRule="auto"/>
              <w:jc w:val="center"/>
              <w:rPr>
                <w:sz w:val="24"/>
                <w:szCs w:val="24"/>
              </w:rPr>
            </w:pPr>
            <w:r>
              <w:rPr>
                <w:sz w:val="24"/>
                <w:szCs w:val="24"/>
              </w:rPr>
              <w:t>от 0% до 1%</w:t>
            </w:r>
          </w:p>
        </w:tc>
        <w:tc>
          <w:tcPr>
            <w:tcW w:w="1179" w:type="dxa"/>
            <w:tcBorders>
              <w:top w:val="single" w:sz="4" w:space="0" w:color="auto"/>
              <w:left w:val="single" w:sz="4" w:space="0" w:color="auto"/>
              <w:bottom w:val="single" w:sz="4" w:space="0" w:color="auto"/>
              <w:right w:val="single" w:sz="12" w:space="0" w:color="auto"/>
            </w:tcBorders>
            <w:vAlign w:val="center"/>
            <w:hideMark/>
          </w:tcPr>
          <w:p w14:paraId="2605F3AD" w14:textId="77777777" w:rsidR="000C1E0E" w:rsidRDefault="000C1E0E" w:rsidP="0098752B">
            <w:pPr>
              <w:spacing w:line="240" w:lineRule="auto"/>
              <w:jc w:val="center"/>
              <w:rPr>
                <w:sz w:val="24"/>
                <w:szCs w:val="24"/>
              </w:rPr>
            </w:pPr>
            <w:r>
              <w:rPr>
                <w:sz w:val="24"/>
                <w:szCs w:val="24"/>
              </w:rPr>
              <w:t>20</w:t>
            </w:r>
          </w:p>
        </w:tc>
      </w:tr>
      <w:tr w:rsidR="000C1E0E" w14:paraId="6DB108F6" w14:textId="77777777" w:rsidTr="0098752B">
        <w:trPr>
          <w:trHeight w:val="135"/>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44245C96"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4200BD42"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316973DB" w14:textId="77777777" w:rsidR="000C1E0E" w:rsidRDefault="000C1E0E" w:rsidP="0098752B">
            <w:pPr>
              <w:spacing w:line="240" w:lineRule="auto"/>
              <w:jc w:val="left"/>
              <w:rPr>
                <w:sz w:val="24"/>
                <w:szCs w:val="24"/>
              </w:rPr>
            </w:pPr>
          </w:p>
        </w:tc>
        <w:tc>
          <w:tcPr>
            <w:tcW w:w="1843" w:type="dxa"/>
            <w:tcBorders>
              <w:top w:val="single" w:sz="4" w:space="0" w:color="auto"/>
              <w:left w:val="single" w:sz="4" w:space="0" w:color="auto"/>
              <w:bottom w:val="single" w:sz="12" w:space="0" w:color="auto"/>
              <w:right w:val="single" w:sz="4" w:space="0" w:color="auto"/>
            </w:tcBorders>
            <w:hideMark/>
          </w:tcPr>
          <w:p w14:paraId="358E5B19" w14:textId="77777777" w:rsidR="000C1E0E" w:rsidRDefault="000C1E0E" w:rsidP="0098752B">
            <w:pPr>
              <w:spacing w:line="240" w:lineRule="auto"/>
              <w:jc w:val="center"/>
              <w:rPr>
                <w:sz w:val="24"/>
                <w:szCs w:val="24"/>
              </w:rPr>
            </w:pPr>
            <w:r>
              <w:rPr>
                <w:sz w:val="24"/>
                <w:szCs w:val="24"/>
              </w:rPr>
              <w:t>меньше 0%</w:t>
            </w:r>
          </w:p>
        </w:tc>
        <w:tc>
          <w:tcPr>
            <w:tcW w:w="1179" w:type="dxa"/>
            <w:tcBorders>
              <w:top w:val="single" w:sz="4" w:space="0" w:color="auto"/>
              <w:left w:val="single" w:sz="4" w:space="0" w:color="auto"/>
              <w:bottom w:val="single" w:sz="12" w:space="0" w:color="auto"/>
              <w:right w:val="single" w:sz="12" w:space="0" w:color="auto"/>
            </w:tcBorders>
            <w:vAlign w:val="center"/>
            <w:hideMark/>
          </w:tcPr>
          <w:p w14:paraId="31498CF3" w14:textId="77777777" w:rsidR="000C1E0E" w:rsidRDefault="000C1E0E" w:rsidP="0098752B">
            <w:pPr>
              <w:spacing w:line="240" w:lineRule="auto"/>
              <w:jc w:val="center"/>
              <w:rPr>
                <w:sz w:val="24"/>
                <w:szCs w:val="24"/>
              </w:rPr>
            </w:pPr>
            <w:r>
              <w:rPr>
                <w:sz w:val="24"/>
                <w:szCs w:val="24"/>
              </w:rPr>
              <w:t>0</w:t>
            </w:r>
          </w:p>
        </w:tc>
      </w:tr>
      <w:tr w:rsidR="000C1E0E" w14:paraId="5A6272D1" w14:textId="77777777" w:rsidTr="0098752B">
        <w:trPr>
          <w:trHeight w:val="135"/>
          <w:jc w:val="center"/>
        </w:trPr>
        <w:tc>
          <w:tcPr>
            <w:tcW w:w="2599" w:type="dxa"/>
            <w:vMerge w:val="restart"/>
            <w:tcBorders>
              <w:top w:val="single" w:sz="12" w:space="0" w:color="auto"/>
              <w:left w:val="single" w:sz="12" w:space="0" w:color="auto"/>
              <w:bottom w:val="single" w:sz="12" w:space="0" w:color="auto"/>
              <w:right w:val="single" w:sz="6" w:space="0" w:color="auto"/>
            </w:tcBorders>
            <w:vAlign w:val="center"/>
            <w:hideMark/>
          </w:tcPr>
          <w:p w14:paraId="3BB1B888" w14:textId="77777777" w:rsidR="000C1E0E" w:rsidRDefault="000C1E0E" w:rsidP="0098752B">
            <w:pPr>
              <w:spacing w:line="240" w:lineRule="auto"/>
              <w:jc w:val="center"/>
              <w:rPr>
                <w:sz w:val="24"/>
                <w:szCs w:val="24"/>
              </w:rPr>
            </w:pPr>
            <w:r>
              <w:rPr>
                <w:sz w:val="24"/>
                <w:szCs w:val="24"/>
              </w:rPr>
              <w:t>Изменение выручки</w:t>
            </w:r>
          </w:p>
        </w:tc>
        <w:tc>
          <w:tcPr>
            <w:tcW w:w="2938" w:type="dxa"/>
            <w:vMerge w:val="restart"/>
            <w:tcBorders>
              <w:top w:val="single" w:sz="12" w:space="0" w:color="auto"/>
              <w:left w:val="single" w:sz="6" w:space="0" w:color="auto"/>
              <w:bottom w:val="single" w:sz="12" w:space="0" w:color="auto"/>
              <w:right w:val="single" w:sz="6" w:space="0" w:color="auto"/>
            </w:tcBorders>
            <w:vAlign w:val="center"/>
            <w:hideMark/>
          </w:tcPr>
          <w:p w14:paraId="2C011A4A" w14:textId="77777777" w:rsidR="000C1E0E" w:rsidRDefault="000C1E0E" w:rsidP="0098752B">
            <w:pPr>
              <w:spacing w:line="240" w:lineRule="auto"/>
              <w:jc w:val="center"/>
              <w:rPr>
                <w:sz w:val="24"/>
                <w:szCs w:val="24"/>
              </w:rPr>
            </w:pPr>
            <w:r>
              <w:rPr>
                <w:sz w:val="24"/>
                <w:szCs w:val="24"/>
              </w:rPr>
              <w:t>[[Выручка за отчётный период] - [Выручка за предыдущий период]] / [Выручка за предыдущий период]</w:t>
            </w:r>
          </w:p>
        </w:tc>
        <w:tc>
          <w:tcPr>
            <w:tcW w:w="889" w:type="dxa"/>
            <w:vMerge w:val="restart"/>
            <w:tcBorders>
              <w:top w:val="single" w:sz="12" w:space="0" w:color="auto"/>
              <w:left w:val="single" w:sz="6" w:space="0" w:color="auto"/>
              <w:bottom w:val="single" w:sz="12" w:space="0" w:color="auto"/>
              <w:right w:val="single" w:sz="6" w:space="0" w:color="auto"/>
            </w:tcBorders>
            <w:vAlign w:val="center"/>
            <w:hideMark/>
          </w:tcPr>
          <w:p w14:paraId="415A5D67" w14:textId="77777777" w:rsidR="000C1E0E" w:rsidRDefault="000C1E0E" w:rsidP="0098752B">
            <w:pPr>
              <w:spacing w:line="240" w:lineRule="auto"/>
              <w:jc w:val="center"/>
              <w:rPr>
                <w:sz w:val="24"/>
                <w:szCs w:val="24"/>
              </w:rPr>
            </w:pPr>
            <w:r>
              <w:rPr>
                <w:sz w:val="24"/>
                <w:szCs w:val="24"/>
              </w:rPr>
              <w:t>20%</w:t>
            </w:r>
          </w:p>
        </w:tc>
        <w:tc>
          <w:tcPr>
            <w:tcW w:w="1843" w:type="dxa"/>
            <w:tcBorders>
              <w:top w:val="single" w:sz="12" w:space="0" w:color="auto"/>
              <w:left w:val="single" w:sz="6" w:space="0" w:color="auto"/>
              <w:bottom w:val="single" w:sz="6" w:space="0" w:color="auto"/>
              <w:right w:val="single" w:sz="6" w:space="0" w:color="auto"/>
            </w:tcBorders>
            <w:hideMark/>
          </w:tcPr>
          <w:p w14:paraId="42BE0E10" w14:textId="77777777" w:rsidR="000C1E0E" w:rsidRDefault="000C1E0E" w:rsidP="0098752B">
            <w:pPr>
              <w:spacing w:line="240" w:lineRule="auto"/>
              <w:jc w:val="center"/>
              <w:rPr>
                <w:sz w:val="24"/>
                <w:szCs w:val="24"/>
              </w:rPr>
            </w:pPr>
            <w:r>
              <w:rPr>
                <w:sz w:val="24"/>
                <w:szCs w:val="24"/>
              </w:rPr>
              <w:t>выше 0%</w:t>
            </w:r>
          </w:p>
        </w:tc>
        <w:tc>
          <w:tcPr>
            <w:tcW w:w="1179" w:type="dxa"/>
            <w:tcBorders>
              <w:top w:val="single" w:sz="12" w:space="0" w:color="auto"/>
              <w:left w:val="single" w:sz="6" w:space="0" w:color="auto"/>
              <w:bottom w:val="single" w:sz="6" w:space="0" w:color="auto"/>
              <w:right w:val="single" w:sz="12" w:space="0" w:color="auto"/>
            </w:tcBorders>
            <w:vAlign w:val="center"/>
            <w:hideMark/>
          </w:tcPr>
          <w:p w14:paraId="102E46E5" w14:textId="77777777" w:rsidR="000C1E0E" w:rsidRDefault="000C1E0E" w:rsidP="0098752B">
            <w:pPr>
              <w:spacing w:line="240" w:lineRule="auto"/>
              <w:jc w:val="center"/>
              <w:rPr>
                <w:sz w:val="24"/>
                <w:szCs w:val="24"/>
              </w:rPr>
            </w:pPr>
            <w:r>
              <w:rPr>
                <w:sz w:val="24"/>
                <w:szCs w:val="24"/>
              </w:rPr>
              <w:t>100</w:t>
            </w:r>
          </w:p>
        </w:tc>
      </w:tr>
      <w:tr w:rsidR="000C1E0E" w14:paraId="499BAB41" w14:textId="77777777" w:rsidTr="0098752B">
        <w:trPr>
          <w:trHeight w:val="135"/>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0DDB9B8A"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3CEAA7EB"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1138B159"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46F8680B" w14:textId="77777777" w:rsidR="000C1E0E" w:rsidRDefault="000C1E0E" w:rsidP="0098752B">
            <w:pPr>
              <w:spacing w:line="240" w:lineRule="auto"/>
              <w:jc w:val="center"/>
              <w:rPr>
                <w:sz w:val="24"/>
                <w:szCs w:val="24"/>
              </w:rPr>
            </w:pPr>
            <w:r>
              <w:rPr>
                <w:sz w:val="24"/>
                <w:szCs w:val="24"/>
              </w:rPr>
              <w:t>от -5% до 0%</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42BC3720" w14:textId="77777777" w:rsidR="000C1E0E" w:rsidRDefault="000C1E0E" w:rsidP="0098752B">
            <w:pPr>
              <w:spacing w:line="240" w:lineRule="auto"/>
              <w:jc w:val="center"/>
              <w:rPr>
                <w:sz w:val="24"/>
                <w:szCs w:val="24"/>
              </w:rPr>
            </w:pPr>
            <w:r>
              <w:rPr>
                <w:sz w:val="24"/>
                <w:szCs w:val="24"/>
              </w:rPr>
              <w:t>80</w:t>
            </w:r>
          </w:p>
        </w:tc>
      </w:tr>
      <w:tr w:rsidR="000C1E0E" w14:paraId="3F31CA50" w14:textId="77777777" w:rsidTr="0098752B">
        <w:trPr>
          <w:trHeight w:val="135"/>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7405B447"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19E1F591"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0C967333"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02CE35DC" w14:textId="77777777" w:rsidR="000C1E0E" w:rsidRDefault="000C1E0E" w:rsidP="0098752B">
            <w:pPr>
              <w:spacing w:line="240" w:lineRule="auto"/>
              <w:jc w:val="center"/>
              <w:rPr>
                <w:sz w:val="24"/>
                <w:szCs w:val="24"/>
              </w:rPr>
            </w:pPr>
            <w:r>
              <w:rPr>
                <w:sz w:val="24"/>
                <w:szCs w:val="24"/>
              </w:rPr>
              <w:t>от -10% до -5%</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3BF4F397" w14:textId="77777777" w:rsidR="000C1E0E" w:rsidRDefault="000C1E0E" w:rsidP="0098752B">
            <w:pPr>
              <w:spacing w:line="240" w:lineRule="auto"/>
              <w:jc w:val="center"/>
              <w:rPr>
                <w:sz w:val="24"/>
                <w:szCs w:val="24"/>
              </w:rPr>
            </w:pPr>
            <w:r>
              <w:rPr>
                <w:sz w:val="24"/>
                <w:szCs w:val="24"/>
              </w:rPr>
              <w:t>60</w:t>
            </w:r>
          </w:p>
        </w:tc>
      </w:tr>
      <w:tr w:rsidR="000C1E0E" w14:paraId="5ECA70F2" w14:textId="77777777" w:rsidTr="0098752B">
        <w:trPr>
          <w:trHeight w:val="135"/>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742B4377"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3AC8155B"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8E817E8"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6AE9DC92" w14:textId="77777777" w:rsidR="000C1E0E" w:rsidRDefault="000C1E0E" w:rsidP="0098752B">
            <w:pPr>
              <w:spacing w:line="240" w:lineRule="auto"/>
              <w:jc w:val="center"/>
              <w:rPr>
                <w:sz w:val="24"/>
                <w:szCs w:val="24"/>
              </w:rPr>
            </w:pPr>
            <w:r>
              <w:rPr>
                <w:sz w:val="24"/>
                <w:szCs w:val="24"/>
              </w:rPr>
              <w:t>от -15% до -10%</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28BFBD35" w14:textId="77777777" w:rsidR="000C1E0E" w:rsidRDefault="000C1E0E" w:rsidP="0098752B">
            <w:pPr>
              <w:spacing w:line="240" w:lineRule="auto"/>
              <w:jc w:val="center"/>
              <w:rPr>
                <w:sz w:val="24"/>
                <w:szCs w:val="24"/>
              </w:rPr>
            </w:pPr>
            <w:r>
              <w:rPr>
                <w:sz w:val="24"/>
                <w:szCs w:val="24"/>
              </w:rPr>
              <w:t>40</w:t>
            </w:r>
          </w:p>
        </w:tc>
      </w:tr>
      <w:tr w:rsidR="000C1E0E" w14:paraId="2AFC581B" w14:textId="77777777" w:rsidTr="0098752B">
        <w:trPr>
          <w:trHeight w:val="135"/>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175BD3D3"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38DA0C4F"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017178E"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30EF68CC" w14:textId="77777777" w:rsidR="000C1E0E" w:rsidRDefault="000C1E0E" w:rsidP="0098752B">
            <w:pPr>
              <w:spacing w:line="240" w:lineRule="auto"/>
              <w:jc w:val="center"/>
              <w:rPr>
                <w:sz w:val="24"/>
                <w:szCs w:val="24"/>
              </w:rPr>
            </w:pPr>
            <w:r>
              <w:rPr>
                <w:sz w:val="24"/>
                <w:szCs w:val="24"/>
              </w:rPr>
              <w:t>от -20% до -15%</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6B941527" w14:textId="77777777" w:rsidR="000C1E0E" w:rsidRDefault="000C1E0E" w:rsidP="0098752B">
            <w:pPr>
              <w:spacing w:line="240" w:lineRule="auto"/>
              <w:jc w:val="center"/>
              <w:rPr>
                <w:sz w:val="24"/>
                <w:szCs w:val="24"/>
              </w:rPr>
            </w:pPr>
            <w:r>
              <w:rPr>
                <w:sz w:val="24"/>
                <w:szCs w:val="24"/>
              </w:rPr>
              <w:t>20</w:t>
            </w:r>
          </w:p>
        </w:tc>
      </w:tr>
      <w:tr w:rsidR="000C1E0E" w14:paraId="13DC10DA" w14:textId="77777777" w:rsidTr="0098752B">
        <w:trPr>
          <w:trHeight w:val="135"/>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2DCCBCAE"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26F33E2"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1F262252"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12" w:space="0" w:color="auto"/>
              <w:right w:val="single" w:sz="6" w:space="0" w:color="auto"/>
            </w:tcBorders>
            <w:hideMark/>
          </w:tcPr>
          <w:p w14:paraId="14FF66A1" w14:textId="77777777" w:rsidR="000C1E0E" w:rsidRDefault="000C1E0E" w:rsidP="0098752B">
            <w:pPr>
              <w:spacing w:line="240" w:lineRule="auto"/>
              <w:jc w:val="center"/>
              <w:rPr>
                <w:sz w:val="24"/>
                <w:szCs w:val="24"/>
              </w:rPr>
            </w:pPr>
            <w:r>
              <w:rPr>
                <w:sz w:val="24"/>
                <w:szCs w:val="24"/>
              </w:rPr>
              <w:t>до -20%</w:t>
            </w:r>
          </w:p>
        </w:tc>
        <w:tc>
          <w:tcPr>
            <w:tcW w:w="1179" w:type="dxa"/>
            <w:tcBorders>
              <w:top w:val="single" w:sz="6" w:space="0" w:color="auto"/>
              <w:left w:val="single" w:sz="6" w:space="0" w:color="auto"/>
              <w:bottom w:val="single" w:sz="12" w:space="0" w:color="auto"/>
              <w:right w:val="single" w:sz="12" w:space="0" w:color="auto"/>
            </w:tcBorders>
            <w:vAlign w:val="center"/>
            <w:hideMark/>
          </w:tcPr>
          <w:p w14:paraId="2510E2DD" w14:textId="77777777" w:rsidR="000C1E0E" w:rsidRDefault="000C1E0E" w:rsidP="0098752B">
            <w:pPr>
              <w:spacing w:line="240" w:lineRule="auto"/>
              <w:jc w:val="center"/>
              <w:rPr>
                <w:sz w:val="24"/>
                <w:szCs w:val="24"/>
              </w:rPr>
            </w:pPr>
            <w:r>
              <w:rPr>
                <w:sz w:val="24"/>
                <w:szCs w:val="24"/>
              </w:rPr>
              <w:t>0</w:t>
            </w:r>
          </w:p>
        </w:tc>
      </w:tr>
      <w:tr w:rsidR="000C1E0E" w14:paraId="294A0ABF" w14:textId="77777777" w:rsidTr="0098752B">
        <w:trPr>
          <w:trHeight w:val="340"/>
          <w:jc w:val="center"/>
        </w:trPr>
        <w:tc>
          <w:tcPr>
            <w:tcW w:w="2599" w:type="dxa"/>
            <w:tcBorders>
              <w:top w:val="single" w:sz="12" w:space="0" w:color="auto"/>
              <w:left w:val="single" w:sz="12" w:space="0" w:color="auto"/>
              <w:bottom w:val="single" w:sz="12" w:space="0" w:color="auto"/>
              <w:right w:val="single" w:sz="6" w:space="0" w:color="auto"/>
            </w:tcBorders>
            <w:vAlign w:val="center"/>
            <w:hideMark/>
          </w:tcPr>
          <w:p w14:paraId="7C7F497E" w14:textId="77777777" w:rsidR="000C1E0E" w:rsidRDefault="000C1E0E" w:rsidP="0098752B">
            <w:pPr>
              <w:spacing w:line="240" w:lineRule="auto"/>
              <w:jc w:val="center"/>
              <w:rPr>
                <w:sz w:val="24"/>
                <w:szCs w:val="24"/>
              </w:rPr>
            </w:pPr>
            <w:r>
              <w:rPr>
                <w:sz w:val="24"/>
                <w:szCs w:val="24"/>
              </w:rPr>
              <w:t>Итоговый балл</w:t>
            </w:r>
          </w:p>
        </w:tc>
        <w:tc>
          <w:tcPr>
            <w:tcW w:w="2938" w:type="dxa"/>
            <w:tcBorders>
              <w:top w:val="single" w:sz="12" w:space="0" w:color="auto"/>
              <w:left w:val="single" w:sz="6" w:space="0" w:color="auto"/>
              <w:bottom w:val="single" w:sz="12" w:space="0" w:color="auto"/>
              <w:right w:val="single" w:sz="6" w:space="0" w:color="auto"/>
            </w:tcBorders>
            <w:vAlign w:val="center"/>
          </w:tcPr>
          <w:p w14:paraId="3A335FDC" w14:textId="77777777" w:rsidR="000C1E0E" w:rsidRDefault="000C1E0E" w:rsidP="0098752B">
            <w:pPr>
              <w:spacing w:line="240" w:lineRule="auto"/>
              <w:jc w:val="center"/>
              <w:rPr>
                <w:sz w:val="24"/>
                <w:szCs w:val="24"/>
              </w:rPr>
            </w:pPr>
          </w:p>
        </w:tc>
        <w:tc>
          <w:tcPr>
            <w:tcW w:w="889" w:type="dxa"/>
            <w:tcBorders>
              <w:top w:val="single" w:sz="12" w:space="0" w:color="auto"/>
              <w:left w:val="single" w:sz="6" w:space="0" w:color="auto"/>
              <w:bottom w:val="single" w:sz="12" w:space="0" w:color="auto"/>
              <w:right w:val="single" w:sz="6" w:space="0" w:color="auto"/>
            </w:tcBorders>
            <w:vAlign w:val="center"/>
            <w:hideMark/>
          </w:tcPr>
          <w:p w14:paraId="5FF142C7" w14:textId="77777777" w:rsidR="000C1E0E" w:rsidRDefault="000C1E0E" w:rsidP="0098752B">
            <w:pPr>
              <w:spacing w:line="240" w:lineRule="auto"/>
              <w:jc w:val="center"/>
              <w:rPr>
                <w:sz w:val="24"/>
                <w:szCs w:val="24"/>
              </w:rPr>
            </w:pPr>
            <w:r>
              <w:rPr>
                <w:sz w:val="24"/>
                <w:szCs w:val="24"/>
              </w:rPr>
              <w:t>100%</w:t>
            </w:r>
          </w:p>
        </w:tc>
        <w:tc>
          <w:tcPr>
            <w:tcW w:w="1843" w:type="dxa"/>
            <w:tcBorders>
              <w:top w:val="single" w:sz="12" w:space="0" w:color="auto"/>
              <w:left w:val="single" w:sz="6" w:space="0" w:color="auto"/>
              <w:bottom w:val="single" w:sz="12" w:space="0" w:color="auto"/>
              <w:right w:val="single" w:sz="6" w:space="0" w:color="auto"/>
            </w:tcBorders>
          </w:tcPr>
          <w:p w14:paraId="459BAD8D" w14:textId="77777777" w:rsidR="000C1E0E" w:rsidRDefault="000C1E0E" w:rsidP="0098752B">
            <w:pPr>
              <w:spacing w:line="240" w:lineRule="auto"/>
              <w:jc w:val="center"/>
              <w:rPr>
                <w:sz w:val="24"/>
                <w:szCs w:val="24"/>
              </w:rPr>
            </w:pPr>
          </w:p>
        </w:tc>
        <w:tc>
          <w:tcPr>
            <w:tcW w:w="1179" w:type="dxa"/>
            <w:tcBorders>
              <w:top w:val="single" w:sz="12" w:space="0" w:color="auto"/>
              <w:left w:val="single" w:sz="6" w:space="0" w:color="auto"/>
              <w:bottom w:val="single" w:sz="12" w:space="0" w:color="auto"/>
              <w:right w:val="single" w:sz="12" w:space="0" w:color="auto"/>
            </w:tcBorders>
            <w:vAlign w:val="center"/>
          </w:tcPr>
          <w:p w14:paraId="005DCB39" w14:textId="77777777" w:rsidR="000C1E0E" w:rsidRDefault="000C1E0E" w:rsidP="0098752B">
            <w:pPr>
              <w:spacing w:line="240" w:lineRule="auto"/>
              <w:jc w:val="center"/>
              <w:rPr>
                <w:sz w:val="24"/>
                <w:szCs w:val="24"/>
              </w:rPr>
            </w:pPr>
          </w:p>
        </w:tc>
      </w:tr>
    </w:tbl>
    <w:p w14:paraId="188B0E58" w14:textId="77777777" w:rsidR="000C1E0E" w:rsidRDefault="000C1E0E" w:rsidP="000C1E0E">
      <w:pPr>
        <w:autoSpaceDE w:val="0"/>
        <w:autoSpaceDN w:val="0"/>
        <w:spacing w:line="240" w:lineRule="auto"/>
        <w:rPr>
          <w:sz w:val="24"/>
          <w:szCs w:val="24"/>
        </w:rPr>
      </w:pPr>
    </w:p>
    <w:p w14:paraId="29B1F660" w14:textId="77777777" w:rsidR="000C1E0E" w:rsidRDefault="000C1E0E" w:rsidP="000C1E0E">
      <w:pPr>
        <w:autoSpaceDE w:val="0"/>
        <w:autoSpaceDN w:val="0"/>
        <w:spacing w:line="240" w:lineRule="auto"/>
        <w:rPr>
          <w:sz w:val="24"/>
          <w:szCs w:val="24"/>
        </w:rPr>
      </w:pPr>
    </w:p>
    <w:p w14:paraId="2B458164" w14:textId="77777777" w:rsidR="000C1E0E" w:rsidRDefault="000C1E0E" w:rsidP="000C1E0E">
      <w:pPr>
        <w:keepNext/>
        <w:tabs>
          <w:tab w:val="left" w:pos="2977"/>
        </w:tabs>
        <w:suppressAutoHyphens/>
        <w:spacing w:line="240" w:lineRule="auto"/>
        <w:jc w:val="center"/>
        <w:outlineLvl w:val="2"/>
        <w:rPr>
          <w:sz w:val="24"/>
          <w:szCs w:val="24"/>
        </w:rPr>
      </w:pPr>
      <w:r>
        <w:rPr>
          <w:sz w:val="24"/>
          <w:szCs w:val="24"/>
        </w:rPr>
        <w:t>Таблица 3. Мэппинг рейтинговых групп и итогового балла.</w:t>
      </w:r>
    </w:p>
    <w:tbl>
      <w:tblPr>
        <w:tblW w:w="316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77"/>
        <w:gridCol w:w="2018"/>
        <w:gridCol w:w="1711"/>
      </w:tblGrid>
      <w:tr w:rsidR="000C1E0E" w14:paraId="0F6AE462" w14:textId="77777777" w:rsidTr="0098752B">
        <w:trPr>
          <w:trHeight w:val="340"/>
          <w:jc w:val="center"/>
        </w:trPr>
        <w:tc>
          <w:tcPr>
            <w:tcW w:w="2267" w:type="dxa"/>
            <w:tcBorders>
              <w:top w:val="single" w:sz="12" w:space="0" w:color="auto"/>
              <w:left w:val="single" w:sz="12" w:space="0" w:color="auto"/>
              <w:bottom w:val="single" w:sz="12" w:space="0" w:color="auto"/>
              <w:right w:val="single" w:sz="6" w:space="0" w:color="auto"/>
            </w:tcBorders>
            <w:shd w:val="pct20" w:color="C0C0C0" w:fill="auto"/>
            <w:vAlign w:val="center"/>
            <w:hideMark/>
          </w:tcPr>
          <w:p w14:paraId="24819BDE" w14:textId="77777777" w:rsidR="000C1E0E" w:rsidRDefault="000C1E0E" w:rsidP="0098752B">
            <w:pPr>
              <w:spacing w:line="240" w:lineRule="auto"/>
              <w:jc w:val="center"/>
              <w:rPr>
                <w:sz w:val="24"/>
                <w:szCs w:val="24"/>
              </w:rPr>
            </w:pPr>
            <w:r>
              <w:rPr>
                <w:sz w:val="24"/>
                <w:szCs w:val="24"/>
              </w:rPr>
              <w:t>Standard &amp; Poor’s</w:t>
            </w:r>
          </w:p>
        </w:tc>
        <w:tc>
          <w:tcPr>
            <w:tcW w:w="2032"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1B455284" w14:textId="77777777" w:rsidR="000C1E0E" w:rsidRDefault="000C1E0E" w:rsidP="0098752B">
            <w:pPr>
              <w:spacing w:line="240" w:lineRule="auto"/>
              <w:jc w:val="center"/>
              <w:rPr>
                <w:sz w:val="24"/>
                <w:szCs w:val="24"/>
              </w:rPr>
            </w:pPr>
            <w:r>
              <w:rPr>
                <w:sz w:val="24"/>
                <w:szCs w:val="24"/>
              </w:rPr>
              <w:t>ВНУТРЕННИЙ РЕЙТИНГ</w:t>
            </w:r>
          </w:p>
        </w:tc>
        <w:tc>
          <w:tcPr>
            <w:tcW w:w="1763" w:type="dxa"/>
            <w:tcBorders>
              <w:top w:val="single" w:sz="12" w:space="0" w:color="auto"/>
              <w:left w:val="single" w:sz="6" w:space="0" w:color="auto"/>
              <w:bottom w:val="single" w:sz="12" w:space="0" w:color="auto"/>
              <w:right w:val="single" w:sz="12" w:space="0" w:color="auto"/>
            </w:tcBorders>
            <w:shd w:val="pct20" w:color="C0C0C0" w:fill="auto"/>
            <w:vAlign w:val="center"/>
            <w:hideMark/>
          </w:tcPr>
          <w:p w14:paraId="4D7B54A4" w14:textId="77777777" w:rsidR="000C1E0E" w:rsidRDefault="000C1E0E" w:rsidP="0098752B">
            <w:pPr>
              <w:spacing w:line="240" w:lineRule="auto"/>
              <w:jc w:val="center"/>
              <w:rPr>
                <w:sz w:val="24"/>
                <w:szCs w:val="24"/>
              </w:rPr>
            </w:pPr>
            <w:r>
              <w:rPr>
                <w:sz w:val="24"/>
                <w:szCs w:val="24"/>
              </w:rPr>
              <w:t>БАЛЛЫ</w:t>
            </w:r>
          </w:p>
        </w:tc>
      </w:tr>
      <w:tr w:rsidR="000C1E0E" w14:paraId="275311DA" w14:textId="77777777" w:rsidTr="0098752B">
        <w:trPr>
          <w:trHeight w:val="340"/>
          <w:jc w:val="center"/>
        </w:trPr>
        <w:tc>
          <w:tcPr>
            <w:tcW w:w="2267" w:type="dxa"/>
            <w:tcBorders>
              <w:top w:val="single" w:sz="12" w:space="0" w:color="auto"/>
              <w:left w:val="single" w:sz="12" w:space="0" w:color="auto"/>
              <w:bottom w:val="single" w:sz="6" w:space="0" w:color="auto"/>
              <w:right w:val="single" w:sz="6" w:space="0" w:color="auto"/>
            </w:tcBorders>
            <w:vAlign w:val="center"/>
            <w:hideMark/>
          </w:tcPr>
          <w:p w14:paraId="12C83E0C" w14:textId="77777777" w:rsidR="000C1E0E" w:rsidRDefault="000C1E0E" w:rsidP="0098752B">
            <w:pPr>
              <w:spacing w:line="240" w:lineRule="auto"/>
              <w:jc w:val="center"/>
              <w:rPr>
                <w:sz w:val="24"/>
                <w:szCs w:val="24"/>
              </w:rPr>
            </w:pPr>
            <w:r>
              <w:rPr>
                <w:sz w:val="24"/>
                <w:szCs w:val="24"/>
              </w:rPr>
              <w:t>B</w:t>
            </w:r>
          </w:p>
        </w:tc>
        <w:tc>
          <w:tcPr>
            <w:tcW w:w="2032" w:type="dxa"/>
            <w:tcBorders>
              <w:top w:val="single" w:sz="12" w:space="0" w:color="auto"/>
              <w:left w:val="single" w:sz="6" w:space="0" w:color="auto"/>
              <w:bottom w:val="single" w:sz="6" w:space="0" w:color="auto"/>
              <w:right w:val="single" w:sz="6" w:space="0" w:color="auto"/>
            </w:tcBorders>
            <w:vAlign w:val="center"/>
            <w:hideMark/>
          </w:tcPr>
          <w:p w14:paraId="27011FE9" w14:textId="77777777" w:rsidR="000C1E0E" w:rsidRDefault="000C1E0E" w:rsidP="0098752B">
            <w:pPr>
              <w:spacing w:line="240" w:lineRule="auto"/>
              <w:jc w:val="center"/>
              <w:rPr>
                <w:sz w:val="24"/>
                <w:szCs w:val="24"/>
              </w:rPr>
            </w:pPr>
            <w:r>
              <w:rPr>
                <w:sz w:val="24"/>
                <w:szCs w:val="24"/>
              </w:rPr>
              <w:t>B</w:t>
            </w:r>
          </w:p>
        </w:tc>
        <w:tc>
          <w:tcPr>
            <w:tcW w:w="1763" w:type="dxa"/>
            <w:tcBorders>
              <w:top w:val="single" w:sz="12" w:space="0" w:color="auto"/>
              <w:left w:val="single" w:sz="6" w:space="0" w:color="auto"/>
              <w:bottom w:val="single" w:sz="6" w:space="0" w:color="auto"/>
              <w:right w:val="single" w:sz="12" w:space="0" w:color="auto"/>
            </w:tcBorders>
            <w:vAlign w:val="center"/>
            <w:hideMark/>
          </w:tcPr>
          <w:p w14:paraId="71320768" w14:textId="77777777" w:rsidR="000C1E0E" w:rsidRDefault="000C1E0E" w:rsidP="0098752B">
            <w:pPr>
              <w:spacing w:line="240" w:lineRule="auto"/>
              <w:jc w:val="center"/>
              <w:rPr>
                <w:sz w:val="24"/>
                <w:szCs w:val="24"/>
              </w:rPr>
            </w:pPr>
            <w:r>
              <w:rPr>
                <w:sz w:val="24"/>
                <w:szCs w:val="24"/>
              </w:rPr>
              <w:t>(80; 100]</w:t>
            </w:r>
          </w:p>
        </w:tc>
      </w:tr>
      <w:tr w:rsidR="000C1E0E" w14:paraId="335A0019" w14:textId="77777777" w:rsidTr="0098752B">
        <w:trPr>
          <w:trHeight w:val="340"/>
          <w:jc w:val="center"/>
        </w:trPr>
        <w:tc>
          <w:tcPr>
            <w:tcW w:w="2267" w:type="dxa"/>
            <w:tcBorders>
              <w:top w:val="single" w:sz="6" w:space="0" w:color="auto"/>
              <w:left w:val="single" w:sz="12" w:space="0" w:color="auto"/>
              <w:bottom w:val="single" w:sz="6" w:space="0" w:color="auto"/>
              <w:right w:val="single" w:sz="6" w:space="0" w:color="auto"/>
            </w:tcBorders>
            <w:vAlign w:val="center"/>
            <w:hideMark/>
          </w:tcPr>
          <w:p w14:paraId="38E08F6B" w14:textId="77777777" w:rsidR="000C1E0E" w:rsidRDefault="000C1E0E" w:rsidP="0098752B">
            <w:pPr>
              <w:spacing w:line="240" w:lineRule="auto"/>
              <w:jc w:val="center"/>
              <w:rPr>
                <w:sz w:val="24"/>
                <w:szCs w:val="24"/>
              </w:rPr>
            </w:pPr>
            <w:r>
              <w:rPr>
                <w:sz w:val="24"/>
                <w:szCs w:val="24"/>
              </w:rPr>
              <w:t>B-</w:t>
            </w:r>
          </w:p>
        </w:tc>
        <w:tc>
          <w:tcPr>
            <w:tcW w:w="2032" w:type="dxa"/>
            <w:tcBorders>
              <w:top w:val="single" w:sz="6" w:space="0" w:color="auto"/>
              <w:left w:val="single" w:sz="6" w:space="0" w:color="auto"/>
              <w:bottom w:val="single" w:sz="6" w:space="0" w:color="auto"/>
              <w:right w:val="single" w:sz="6" w:space="0" w:color="auto"/>
            </w:tcBorders>
            <w:vAlign w:val="center"/>
            <w:hideMark/>
          </w:tcPr>
          <w:p w14:paraId="19EAD0B1" w14:textId="77777777" w:rsidR="000C1E0E" w:rsidRDefault="000C1E0E" w:rsidP="0098752B">
            <w:pPr>
              <w:spacing w:line="240" w:lineRule="auto"/>
              <w:jc w:val="center"/>
              <w:rPr>
                <w:sz w:val="24"/>
                <w:szCs w:val="24"/>
              </w:rPr>
            </w:pPr>
            <w:r>
              <w:rPr>
                <w:sz w:val="24"/>
                <w:szCs w:val="24"/>
              </w:rPr>
              <w:t>B-</w:t>
            </w:r>
          </w:p>
        </w:tc>
        <w:tc>
          <w:tcPr>
            <w:tcW w:w="1763" w:type="dxa"/>
            <w:tcBorders>
              <w:top w:val="single" w:sz="6" w:space="0" w:color="auto"/>
              <w:left w:val="single" w:sz="6" w:space="0" w:color="auto"/>
              <w:bottom w:val="single" w:sz="6" w:space="0" w:color="auto"/>
              <w:right w:val="single" w:sz="12" w:space="0" w:color="auto"/>
            </w:tcBorders>
            <w:vAlign w:val="center"/>
            <w:hideMark/>
          </w:tcPr>
          <w:p w14:paraId="6054E174" w14:textId="77777777" w:rsidR="000C1E0E" w:rsidRDefault="000C1E0E" w:rsidP="0098752B">
            <w:pPr>
              <w:spacing w:line="240" w:lineRule="auto"/>
              <w:jc w:val="center"/>
              <w:rPr>
                <w:sz w:val="24"/>
                <w:szCs w:val="24"/>
              </w:rPr>
            </w:pPr>
            <w:r>
              <w:rPr>
                <w:sz w:val="24"/>
                <w:szCs w:val="24"/>
              </w:rPr>
              <w:t>(60; 80]</w:t>
            </w:r>
          </w:p>
        </w:tc>
      </w:tr>
      <w:tr w:rsidR="000C1E0E" w14:paraId="5A857CAB" w14:textId="77777777" w:rsidTr="0098752B">
        <w:trPr>
          <w:trHeight w:val="340"/>
          <w:jc w:val="center"/>
        </w:trPr>
        <w:tc>
          <w:tcPr>
            <w:tcW w:w="2267" w:type="dxa"/>
            <w:tcBorders>
              <w:top w:val="single" w:sz="6" w:space="0" w:color="auto"/>
              <w:left w:val="single" w:sz="12" w:space="0" w:color="auto"/>
              <w:bottom w:val="single" w:sz="6" w:space="0" w:color="auto"/>
              <w:right w:val="single" w:sz="6" w:space="0" w:color="auto"/>
            </w:tcBorders>
            <w:vAlign w:val="center"/>
            <w:hideMark/>
          </w:tcPr>
          <w:p w14:paraId="1EC29A92" w14:textId="77777777" w:rsidR="000C1E0E" w:rsidRDefault="000C1E0E" w:rsidP="0098752B">
            <w:pPr>
              <w:spacing w:line="240" w:lineRule="auto"/>
              <w:jc w:val="center"/>
              <w:rPr>
                <w:sz w:val="24"/>
                <w:szCs w:val="24"/>
              </w:rPr>
            </w:pPr>
            <w:r>
              <w:rPr>
                <w:sz w:val="24"/>
                <w:szCs w:val="24"/>
              </w:rPr>
              <w:t>CCC</w:t>
            </w:r>
          </w:p>
        </w:tc>
        <w:tc>
          <w:tcPr>
            <w:tcW w:w="2032" w:type="dxa"/>
            <w:tcBorders>
              <w:top w:val="single" w:sz="6" w:space="0" w:color="auto"/>
              <w:left w:val="single" w:sz="6" w:space="0" w:color="auto"/>
              <w:bottom w:val="single" w:sz="6" w:space="0" w:color="auto"/>
              <w:right w:val="single" w:sz="6" w:space="0" w:color="auto"/>
            </w:tcBorders>
            <w:vAlign w:val="center"/>
            <w:hideMark/>
          </w:tcPr>
          <w:p w14:paraId="2AB0A490" w14:textId="77777777" w:rsidR="000C1E0E" w:rsidRDefault="000C1E0E" w:rsidP="0098752B">
            <w:pPr>
              <w:spacing w:line="240" w:lineRule="auto"/>
              <w:jc w:val="center"/>
              <w:rPr>
                <w:sz w:val="24"/>
                <w:szCs w:val="24"/>
              </w:rPr>
            </w:pPr>
            <w:r>
              <w:rPr>
                <w:sz w:val="24"/>
                <w:szCs w:val="24"/>
              </w:rPr>
              <w:t>CCC</w:t>
            </w:r>
          </w:p>
        </w:tc>
        <w:tc>
          <w:tcPr>
            <w:tcW w:w="1763" w:type="dxa"/>
            <w:tcBorders>
              <w:top w:val="single" w:sz="6" w:space="0" w:color="auto"/>
              <w:left w:val="single" w:sz="6" w:space="0" w:color="auto"/>
              <w:bottom w:val="single" w:sz="6" w:space="0" w:color="auto"/>
              <w:right w:val="single" w:sz="12" w:space="0" w:color="auto"/>
            </w:tcBorders>
            <w:vAlign w:val="center"/>
            <w:hideMark/>
          </w:tcPr>
          <w:p w14:paraId="55A5F3C4" w14:textId="77777777" w:rsidR="000C1E0E" w:rsidRDefault="000C1E0E" w:rsidP="0098752B">
            <w:pPr>
              <w:spacing w:line="240" w:lineRule="auto"/>
              <w:jc w:val="center"/>
              <w:rPr>
                <w:sz w:val="24"/>
                <w:szCs w:val="24"/>
              </w:rPr>
            </w:pPr>
            <w:r>
              <w:rPr>
                <w:sz w:val="24"/>
                <w:szCs w:val="24"/>
              </w:rPr>
              <w:t>(40; 60]</w:t>
            </w:r>
          </w:p>
        </w:tc>
      </w:tr>
      <w:tr w:rsidR="000C1E0E" w14:paraId="22706913" w14:textId="77777777" w:rsidTr="0098752B">
        <w:trPr>
          <w:trHeight w:val="340"/>
          <w:jc w:val="center"/>
        </w:trPr>
        <w:tc>
          <w:tcPr>
            <w:tcW w:w="2267" w:type="dxa"/>
            <w:tcBorders>
              <w:top w:val="single" w:sz="6" w:space="0" w:color="auto"/>
              <w:left w:val="single" w:sz="12" w:space="0" w:color="auto"/>
              <w:bottom w:val="single" w:sz="6" w:space="0" w:color="auto"/>
              <w:right w:val="single" w:sz="6" w:space="0" w:color="auto"/>
            </w:tcBorders>
            <w:vAlign w:val="center"/>
            <w:hideMark/>
          </w:tcPr>
          <w:p w14:paraId="4E0C9D7D" w14:textId="77777777" w:rsidR="000C1E0E" w:rsidRDefault="000C1E0E" w:rsidP="0098752B">
            <w:pPr>
              <w:spacing w:line="240" w:lineRule="auto"/>
              <w:jc w:val="center"/>
              <w:rPr>
                <w:sz w:val="24"/>
                <w:szCs w:val="24"/>
              </w:rPr>
            </w:pPr>
            <w:r>
              <w:rPr>
                <w:sz w:val="24"/>
                <w:szCs w:val="24"/>
              </w:rPr>
              <w:t>CC</w:t>
            </w:r>
          </w:p>
        </w:tc>
        <w:tc>
          <w:tcPr>
            <w:tcW w:w="2032" w:type="dxa"/>
            <w:tcBorders>
              <w:top w:val="single" w:sz="6" w:space="0" w:color="auto"/>
              <w:left w:val="single" w:sz="6" w:space="0" w:color="auto"/>
              <w:bottom w:val="single" w:sz="6" w:space="0" w:color="auto"/>
              <w:right w:val="single" w:sz="6" w:space="0" w:color="auto"/>
            </w:tcBorders>
            <w:vAlign w:val="center"/>
            <w:hideMark/>
          </w:tcPr>
          <w:p w14:paraId="5502976E" w14:textId="77777777" w:rsidR="000C1E0E" w:rsidRDefault="000C1E0E" w:rsidP="0098752B">
            <w:pPr>
              <w:spacing w:line="240" w:lineRule="auto"/>
              <w:jc w:val="center"/>
              <w:rPr>
                <w:sz w:val="24"/>
                <w:szCs w:val="24"/>
              </w:rPr>
            </w:pPr>
            <w:r>
              <w:rPr>
                <w:sz w:val="24"/>
                <w:szCs w:val="24"/>
              </w:rPr>
              <w:t>CC</w:t>
            </w:r>
          </w:p>
        </w:tc>
        <w:tc>
          <w:tcPr>
            <w:tcW w:w="1763" w:type="dxa"/>
            <w:tcBorders>
              <w:top w:val="single" w:sz="6" w:space="0" w:color="auto"/>
              <w:left w:val="single" w:sz="6" w:space="0" w:color="auto"/>
              <w:bottom w:val="single" w:sz="6" w:space="0" w:color="auto"/>
              <w:right w:val="single" w:sz="12" w:space="0" w:color="auto"/>
            </w:tcBorders>
            <w:vAlign w:val="center"/>
            <w:hideMark/>
          </w:tcPr>
          <w:p w14:paraId="5F783AB0" w14:textId="77777777" w:rsidR="000C1E0E" w:rsidRDefault="000C1E0E" w:rsidP="0098752B">
            <w:pPr>
              <w:spacing w:line="240" w:lineRule="auto"/>
              <w:jc w:val="center"/>
              <w:rPr>
                <w:sz w:val="24"/>
                <w:szCs w:val="24"/>
              </w:rPr>
            </w:pPr>
            <w:r>
              <w:rPr>
                <w:sz w:val="24"/>
                <w:szCs w:val="24"/>
              </w:rPr>
              <w:t>(20; 40]</w:t>
            </w:r>
          </w:p>
        </w:tc>
      </w:tr>
      <w:tr w:rsidR="000C1E0E" w14:paraId="10882E71" w14:textId="77777777" w:rsidTr="0098752B">
        <w:trPr>
          <w:trHeight w:val="340"/>
          <w:jc w:val="center"/>
        </w:trPr>
        <w:tc>
          <w:tcPr>
            <w:tcW w:w="2267" w:type="dxa"/>
            <w:tcBorders>
              <w:top w:val="single" w:sz="6" w:space="0" w:color="auto"/>
              <w:left w:val="single" w:sz="12" w:space="0" w:color="auto"/>
              <w:bottom w:val="single" w:sz="12" w:space="0" w:color="auto"/>
              <w:right w:val="single" w:sz="6" w:space="0" w:color="auto"/>
            </w:tcBorders>
            <w:vAlign w:val="center"/>
            <w:hideMark/>
          </w:tcPr>
          <w:p w14:paraId="4D7BD066" w14:textId="77777777" w:rsidR="000C1E0E" w:rsidRDefault="000C1E0E" w:rsidP="0098752B">
            <w:pPr>
              <w:spacing w:line="240" w:lineRule="auto"/>
              <w:jc w:val="center"/>
              <w:rPr>
                <w:sz w:val="24"/>
                <w:szCs w:val="24"/>
              </w:rPr>
            </w:pPr>
            <w:r>
              <w:rPr>
                <w:sz w:val="24"/>
                <w:szCs w:val="24"/>
              </w:rPr>
              <w:t>C</w:t>
            </w:r>
          </w:p>
        </w:tc>
        <w:tc>
          <w:tcPr>
            <w:tcW w:w="2032" w:type="dxa"/>
            <w:tcBorders>
              <w:top w:val="single" w:sz="6" w:space="0" w:color="auto"/>
              <w:left w:val="single" w:sz="6" w:space="0" w:color="auto"/>
              <w:bottom w:val="single" w:sz="12" w:space="0" w:color="auto"/>
              <w:right w:val="single" w:sz="6" w:space="0" w:color="auto"/>
            </w:tcBorders>
            <w:vAlign w:val="center"/>
            <w:hideMark/>
          </w:tcPr>
          <w:p w14:paraId="21F6B25F" w14:textId="77777777" w:rsidR="000C1E0E" w:rsidRDefault="000C1E0E" w:rsidP="0098752B">
            <w:pPr>
              <w:spacing w:line="240" w:lineRule="auto"/>
              <w:jc w:val="center"/>
              <w:rPr>
                <w:sz w:val="24"/>
                <w:szCs w:val="24"/>
              </w:rPr>
            </w:pPr>
            <w:r>
              <w:rPr>
                <w:sz w:val="24"/>
                <w:szCs w:val="24"/>
              </w:rPr>
              <w:t>C</w:t>
            </w:r>
          </w:p>
        </w:tc>
        <w:tc>
          <w:tcPr>
            <w:tcW w:w="1763" w:type="dxa"/>
            <w:tcBorders>
              <w:top w:val="single" w:sz="6" w:space="0" w:color="auto"/>
              <w:left w:val="single" w:sz="6" w:space="0" w:color="auto"/>
              <w:bottom w:val="single" w:sz="12" w:space="0" w:color="auto"/>
              <w:right w:val="single" w:sz="12" w:space="0" w:color="auto"/>
            </w:tcBorders>
            <w:vAlign w:val="center"/>
            <w:hideMark/>
          </w:tcPr>
          <w:p w14:paraId="1025ADC6" w14:textId="77777777" w:rsidR="000C1E0E" w:rsidRDefault="000C1E0E" w:rsidP="0098752B">
            <w:pPr>
              <w:spacing w:line="240" w:lineRule="auto"/>
              <w:jc w:val="center"/>
              <w:rPr>
                <w:sz w:val="24"/>
                <w:szCs w:val="24"/>
              </w:rPr>
            </w:pPr>
            <w:r>
              <w:rPr>
                <w:sz w:val="24"/>
                <w:szCs w:val="24"/>
              </w:rPr>
              <w:t>[0; 20]</w:t>
            </w:r>
          </w:p>
        </w:tc>
      </w:tr>
    </w:tbl>
    <w:p w14:paraId="536A70A7" w14:textId="77777777" w:rsidR="000C1E0E" w:rsidRDefault="000C1E0E" w:rsidP="000C1E0E">
      <w:pPr>
        <w:autoSpaceDE w:val="0"/>
        <w:autoSpaceDN w:val="0"/>
        <w:spacing w:line="240" w:lineRule="auto"/>
        <w:rPr>
          <w:sz w:val="24"/>
          <w:szCs w:val="24"/>
        </w:rPr>
      </w:pPr>
    </w:p>
    <w:p w14:paraId="35709B13" w14:textId="77777777" w:rsidR="000C1E0E" w:rsidRDefault="000C1E0E" w:rsidP="000C1E0E">
      <w:pPr>
        <w:autoSpaceDN w:val="0"/>
        <w:spacing w:line="360" w:lineRule="auto"/>
        <w:ind w:firstLine="567"/>
        <w:rPr>
          <w:sz w:val="24"/>
          <w:szCs w:val="24"/>
        </w:rPr>
      </w:pPr>
    </w:p>
    <w:p w14:paraId="3BF9EAAA" w14:textId="77777777" w:rsidR="000C1E0E" w:rsidRDefault="000C1E0E" w:rsidP="000C1E0E">
      <w:pPr>
        <w:autoSpaceDN w:val="0"/>
        <w:spacing w:line="360" w:lineRule="auto"/>
        <w:ind w:firstLine="567"/>
        <w:rPr>
          <w:sz w:val="24"/>
          <w:szCs w:val="24"/>
        </w:rPr>
      </w:pPr>
    </w:p>
    <w:p w14:paraId="7DAC4F86" w14:textId="77777777" w:rsidR="000C1E0E" w:rsidRDefault="000C1E0E" w:rsidP="000C1E0E">
      <w:pPr>
        <w:spacing w:line="360" w:lineRule="auto"/>
        <w:ind w:left="709"/>
        <w:rPr>
          <w:b/>
          <w:sz w:val="24"/>
          <w:szCs w:val="24"/>
        </w:rPr>
      </w:pPr>
      <w:r>
        <w:rPr>
          <w:b/>
          <w:sz w:val="24"/>
          <w:szCs w:val="24"/>
        </w:rPr>
        <w:t>Метод 2</w:t>
      </w:r>
    </w:p>
    <w:p w14:paraId="5673CABA" w14:textId="77777777" w:rsidR="000C1E0E" w:rsidRDefault="000C1E0E" w:rsidP="000C1E0E">
      <w:pPr>
        <w:autoSpaceDN w:val="0"/>
        <w:spacing w:line="360" w:lineRule="auto"/>
        <w:ind w:left="567" w:firstLine="567"/>
        <w:rPr>
          <w:rFonts w:eastAsia="Batang"/>
          <w:sz w:val="24"/>
          <w:szCs w:val="24"/>
        </w:rPr>
      </w:pPr>
      <w:r>
        <w:rPr>
          <w:rFonts w:eastAsia="Batang"/>
          <w:b/>
          <w:sz w:val="24"/>
          <w:szCs w:val="24"/>
        </w:rPr>
        <w:t>Справедливая стоимость актива, сроком погашения меньше 1 года</w:t>
      </w:r>
      <w:r>
        <w:rPr>
          <w:rFonts w:eastAsia="Batang"/>
          <w:sz w:val="24"/>
          <w:szCs w:val="24"/>
        </w:rPr>
        <w:t xml:space="preserve"> (за исключением ценных бумаг)  </w:t>
      </w:r>
      <m:oMath>
        <m:sSub>
          <m:sSubPr>
            <m:ctrlPr>
              <w:rPr>
                <w:rFonts w:ascii="Cambria Math" w:eastAsia="Batang" w:hAnsi="Cambria Math"/>
                <w:i/>
                <w:sz w:val="24"/>
                <w:szCs w:val="24"/>
              </w:rPr>
            </m:ctrlPr>
          </m:sSubPr>
          <m:e>
            <m:r>
              <w:rPr>
                <w:rFonts w:ascii="Cambria Math" w:eastAsia="Batang" w:hAnsi="Cambria Math"/>
                <w:sz w:val="24"/>
                <w:szCs w:val="24"/>
              </w:rPr>
              <m:t>PV</m:t>
            </m:r>
          </m:e>
          <m:sub>
            <m:r>
              <w:rPr>
                <w:rFonts w:ascii="Cambria Math" w:eastAsia="Batang" w:hAnsi="Cambria Math"/>
                <w:sz w:val="24"/>
                <w:szCs w:val="24"/>
              </w:rPr>
              <m:t>dev</m:t>
            </m:r>
          </m:sub>
        </m:sSub>
      </m:oMath>
      <w:r>
        <w:rPr>
          <w:rFonts w:eastAsia="Batang"/>
          <w:sz w:val="24"/>
          <w:szCs w:val="24"/>
        </w:rPr>
        <w:t xml:space="preserve"> определяется по формуле:</w:t>
      </w:r>
    </w:p>
    <w:p w14:paraId="333535EF" w14:textId="77777777" w:rsidR="000C1E0E" w:rsidRDefault="00C84628" w:rsidP="000C1E0E">
      <w:pPr>
        <w:spacing w:line="360" w:lineRule="auto"/>
        <w:ind w:left="567" w:firstLine="567"/>
        <w:rPr>
          <w:b/>
          <w:i/>
          <w:sz w:val="24"/>
          <w:szCs w:val="24"/>
        </w:rPr>
      </w:pPr>
      <m:oMathPara>
        <m:oMath>
          <m:sSub>
            <m:sSubPr>
              <m:ctrlPr>
                <w:rPr>
                  <w:rFonts w:ascii="Cambria Math" w:eastAsia="Batang" w:hAnsi="Cambria Math"/>
                  <w:b/>
                  <w:i/>
                  <w:sz w:val="24"/>
                  <w:szCs w:val="24"/>
                </w:rPr>
              </m:ctrlPr>
            </m:sSubPr>
            <m:e>
              <m:r>
                <m:rPr>
                  <m:sty m:val="bi"/>
                </m:rPr>
                <w:rPr>
                  <w:rFonts w:ascii="Cambria Math" w:eastAsia="Batang" w:hAnsi="Cambria Math"/>
                  <w:sz w:val="24"/>
                  <w:szCs w:val="24"/>
                </w:rPr>
                <m:t>PV</m:t>
              </m:r>
            </m:e>
            <m:sub>
              <m:r>
                <m:rPr>
                  <m:sty m:val="bi"/>
                </m:rPr>
                <w:rPr>
                  <w:rFonts w:ascii="Cambria Math" w:eastAsia="Batang" w:hAnsi="Cambria Math"/>
                  <w:sz w:val="24"/>
                  <w:szCs w:val="24"/>
                </w:rPr>
                <m:t>dev</m:t>
              </m:r>
            </m:sub>
          </m:sSub>
          <m:r>
            <m:rPr>
              <m:sty m:val="bi"/>
            </m:rPr>
            <w:rPr>
              <w:rFonts w:ascii="Cambria Math" w:eastAsia="Batang"/>
              <w:sz w:val="24"/>
              <w:szCs w:val="24"/>
            </w:rPr>
            <m:t>=</m:t>
          </m:r>
          <m:sSub>
            <m:sSubPr>
              <m:ctrlPr>
                <w:rPr>
                  <w:rFonts w:ascii="Cambria Math" w:eastAsia="Batang" w:hAnsi="Cambria Math"/>
                  <w:b/>
                  <w:i/>
                  <w:sz w:val="24"/>
                  <w:szCs w:val="24"/>
                  <w:lang w:val="en-US"/>
                </w:rPr>
              </m:ctrlPr>
            </m:sSubPr>
            <m:e>
              <m:r>
                <m:rPr>
                  <m:sty m:val="bi"/>
                </m:rPr>
                <w:rPr>
                  <w:rFonts w:ascii="Cambria Math" w:eastAsia="Batang" w:hAnsi="Cambria Math"/>
                  <w:sz w:val="24"/>
                  <w:szCs w:val="24"/>
                  <w:lang w:val="en-US"/>
                </w:rPr>
                <m:t>PV</m:t>
              </m:r>
            </m:e>
            <m:sub>
              <m:r>
                <m:rPr>
                  <m:sty m:val="bi"/>
                </m:rPr>
                <w:rPr>
                  <w:rFonts w:ascii="Cambria Math" w:eastAsia="Batang" w:hAnsi="Cambria Math"/>
                  <w:sz w:val="24"/>
                  <w:szCs w:val="24"/>
                  <w:lang w:val="en-US"/>
                </w:rPr>
                <m:t>f</m:t>
              </m:r>
            </m:sub>
          </m:sSub>
          <m:r>
            <m:rPr>
              <m:sty m:val="bi"/>
            </m:rPr>
            <w:rPr>
              <w:rFonts w:ascii="Cambria Math" w:eastAsia="Batang" w:hAnsi="Cambria Math"/>
              <w:sz w:val="24"/>
              <w:szCs w:val="24"/>
              <w:lang w:val="en-US"/>
            </w:rPr>
            <m:t>-ECL</m:t>
          </m:r>
        </m:oMath>
      </m:oMathPara>
    </w:p>
    <w:p w14:paraId="1B62EF0A" w14:textId="77777777" w:rsidR="000C1E0E" w:rsidRDefault="000C1E0E" w:rsidP="000C1E0E">
      <w:pPr>
        <w:spacing w:line="360" w:lineRule="auto"/>
        <w:ind w:left="567"/>
        <w:rPr>
          <w:i/>
          <w:sz w:val="24"/>
          <w:szCs w:val="24"/>
        </w:rPr>
      </w:pPr>
      <w:r>
        <w:rPr>
          <w:i/>
          <w:sz w:val="24"/>
          <w:szCs w:val="24"/>
        </w:rPr>
        <w:t>где</w:t>
      </w:r>
    </w:p>
    <w:p w14:paraId="3D79049C" w14:textId="77777777" w:rsidR="000C1E0E" w:rsidRDefault="00C84628" w:rsidP="000C1E0E">
      <w:pPr>
        <w:pStyle w:val="12"/>
        <w:tabs>
          <w:tab w:val="left" w:pos="993"/>
        </w:tabs>
        <w:spacing w:before="120" w:line="276" w:lineRule="auto"/>
        <w:ind w:left="567"/>
        <w:jc w:val="both"/>
        <w:rPr>
          <w:rFonts w:eastAsia="Batang"/>
          <w:szCs w:val="24"/>
        </w:rPr>
      </w:pPr>
      <m:oMath>
        <m:sSub>
          <m:sSubPr>
            <m:ctrlPr>
              <w:rPr>
                <w:rFonts w:ascii="Cambria Math" w:eastAsia="Batang" w:hAnsi="Cambria Math"/>
                <w:i/>
                <w:szCs w:val="24"/>
              </w:rPr>
            </m:ctrlPr>
          </m:sSubPr>
          <m:e>
            <m:r>
              <w:rPr>
                <w:rFonts w:ascii="Cambria Math" w:eastAsia="Batang" w:hAnsi="Cambria Math"/>
                <w:szCs w:val="24"/>
              </w:rPr>
              <m:t>PV</m:t>
            </m:r>
          </m:e>
          <m:sub>
            <m:r>
              <w:rPr>
                <w:rFonts w:ascii="Cambria Math" w:eastAsia="Batang" w:hAnsi="Cambria Math"/>
                <w:szCs w:val="24"/>
              </w:rPr>
              <m:t>f</m:t>
            </m:r>
          </m:sub>
        </m:sSub>
        <m:r>
          <w:rPr>
            <w:rFonts w:ascii="Cambria Math" w:eastAsia="Batang"/>
            <w:szCs w:val="24"/>
          </w:rPr>
          <m:t xml:space="preserve"> </m:t>
        </m:r>
      </m:oMath>
      <w:r w:rsidR="000C1E0E">
        <w:rPr>
          <w:rFonts w:eastAsia="Batang"/>
          <w:szCs w:val="24"/>
        </w:rPr>
        <w:t>– стоимость актива (обязательства) без учета кредитного риска.</w:t>
      </w:r>
    </w:p>
    <w:p w14:paraId="66B2B46E" w14:textId="77777777" w:rsidR="000C1E0E" w:rsidRDefault="000C1E0E" w:rsidP="000C1E0E">
      <w:pPr>
        <w:spacing w:line="360" w:lineRule="auto"/>
        <w:ind w:left="567" w:firstLine="567"/>
        <w:rPr>
          <w:sz w:val="24"/>
          <w:szCs w:val="24"/>
        </w:rPr>
      </w:pPr>
      <w:r>
        <w:rPr>
          <w:sz w:val="24"/>
          <w:szCs w:val="24"/>
        </w:rPr>
        <w:t xml:space="preserve">Оценка </w:t>
      </w:r>
      <w:r>
        <w:rPr>
          <w:b/>
          <w:sz w:val="24"/>
          <w:szCs w:val="24"/>
        </w:rPr>
        <w:t>кредитного риска</w:t>
      </w:r>
      <w:r>
        <w:rPr>
          <w:sz w:val="24"/>
          <w:szCs w:val="24"/>
        </w:rPr>
        <w:t xml:space="preserve"> определяется с применением модели ожидаемых кредитных убытков (ECL): </w:t>
      </w:r>
    </w:p>
    <w:p w14:paraId="70C0BF0B" w14:textId="77777777" w:rsidR="000C1E0E" w:rsidRDefault="000C1E0E" w:rsidP="000C1E0E">
      <w:pPr>
        <w:spacing w:line="360" w:lineRule="auto"/>
        <w:ind w:left="567" w:firstLine="567"/>
        <w:jc w:val="center"/>
        <w:rPr>
          <w:b/>
          <w:sz w:val="24"/>
          <w:szCs w:val="24"/>
          <w:lang w:val="en-US"/>
        </w:rPr>
      </w:pPr>
      <w:r>
        <w:rPr>
          <w:b/>
          <w:sz w:val="24"/>
          <w:szCs w:val="24"/>
          <w:lang w:val="en-US"/>
        </w:rPr>
        <w:t>ECL = EAD * PD * LGD</w:t>
      </w:r>
    </w:p>
    <w:p w14:paraId="2D6DF618" w14:textId="77777777" w:rsidR="000C1E0E" w:rsidRDefault="000C1E0E" w:rsidP="000C1E0E">
      <w:pPr>
        <w:spacing w:line="360" w:lineRule="auto"/>
        <w:ind w:left="567" w:firstLine="567"/>
        <w:rPr>
          <w:i/>
          <w:sz w:val="24"/>
          <w:szCs w:val="24"/>
          <w:lang w:val="en-US"/>
        </w:rPr>
      </w:pPr>
      <w:r>
        <w:rPr>
          <w:i/>
          <w:sz w:val="24"/>
          <w:szCs w:val="24"/>
        </w:rPr>
        <w:t>где</w:t>
      </w:r>
      <w:r>
        <w:rPr>
          <w:i/>
          <w:sz w:val="24"/>
          <w:szCs w:val="24"/>
          <w:lang w:val="en-US"/>
        </w:rPr>
        <w:t>:</w:t>
      </w:r>
    </w:p>
    <w:p w14:paraId="6E86BC2D" w14:textId="77777777" w:rsidR="000C1E0E" w:rsidRDefault="000C1E0E" w:rsidP="000C1E0E">
      <w:pPr>
        <w:spacing w:line="360" w:lineRule="auto"/>
        <w:ind w:left="567"/>
        <w:rPr>
          <w:sz w:val="24"/>
          <w:szCs w:val="24"/>
        </w:rPr>
      </w:pPr>
      <w:r>
        <w:rPr>
          <w:sz w:val="24"/>
          <w:szCs w:val="24"/>
        </w:rPr>
        <w:t>ECL (expected credit losses) – величина кредитных убытков, корректирующая денежные потоки, приведенная к моменту оценки.</w:t>
      </w:r>
    </w:p>
    <w:p w14:paraId="41EDF2CC" w14:textId="77777777" w:rsidR="000C1E0E" w:rsidRDefault="000C1E0E" w:rsidP="000C1E0E">
      <w:pPr>
        <w:autoSpaceDN w:val="0"/>
        <w:spacing w:line="360" w:lineRule="auto"/>
        <w:ind w:left="567"/>
        <w:rPr>
          <w:sz w:val="24"/>
          <w:szCs w:val="24"/>
        </w:rPr>
      </w:pPr>
      <w:r>
        <w:rPr>
          <w:sz w:val="24"/>
          <w:szCs w:val="24"/>
        </w:rPr>
        <w:t>EAD (Exposure at Default; сумма, подверженная кредитному риску) — общий объём обязательств контрагента на момент оценки (например, сумма вложений в банковские вклады (депозиты) и неснижаемые остатки на расчетных счетах, сумма выданного займа).</w:t>
      </w:r>
    </w:p>
    <w:p w14:paraId="60885DE4" w14:textId="77777777" w:rsidR="000C1E0E" w:rsidRDefault="000C1E0E" w:rsidP="000C1E0E">
      <w:pPr>
        <w:pStyle w:val="afc"/>
        <w:spacing w:before="120"/>
        <w:jc w:val="both"/>
        <w:rPr>
          <w:rFonts w:ascii="Times New Roman" w:hAnsi="Times New Roman"/>
          <w:sz w:val="24"/>
          <w:szCs w:val="24"/>
        </w:rPr>
      </w:pPr>
      <w:r>
        <w:rPr>
          <w:rFonts w:ascii="Times New Roman" w:hAnsi="Times New Roman"/>
          <w:sz w:val="24"/>
          <w:szCs w:val="24"/>
        </w:rPr>
        <w:t>Величина PD  и LGD определяется способом, указанном  в Методе 1.</w:t>
      </w:r>
    </w:p>
    <w:p w14:paraId="6A86CF3D" w14:textId="77777777" w:rsidR="000C1E0E" w:rsidRDefault="000C1E0E" w:rsidP="000C1E0E">
      <w:pPr>
        <w:pStyle w:val="afc"/>
        <w:spacing w:before="120"/>
        <w:jc w:val="both"/>
        <w:rPr>
          <w:rFonts w:ascii="Times New Roman" w:hAnsi="Times New Roman"/>
          <w:sz w:val="24"/>
          <w:szCs w:val="24"/>
        </w:rPr>
      </w:pPr>
      <w:r>
        <w:rPr>
          <w:rFonts w:ascii="Times New Roman" w:hAnsi="Times New Roman"/>
          <w:sz w:val="24"/>
          <w:szCs w:val="24"/>
        </w:rPr>
        <w:t>В случае возникновения фактической просрочки исполнения обязательства контрагентом/эмитентом сроком меньше 90 дней, актив обесценивается, исходя из методики расчета справедливой стоимости актива, сроком погашения меньше 1 года (Метод 2)</w:t>
      </w:r>
    </w:p>
    <w:p w14:paraId="50C94814" w14:textId="77777777" w:rsidR="000C1E0E" w:rsidRDefault="000C1E0E" w:rsidP="000C1E0E">
      <w:pPr>
        <w:pStyle w:val="afc"/>
        <w:spacing w:before="120"/>
        <w:jc w:val="both"/>
        <w:rPr>
          <w:rFonts w:ascii="Times New Roman" w:hAnsi="Times New Roman"/>
          <w:sz w:val="24"/>
          <w:szCs w:val="24"/>
        </w:rPr>
      </w:pPr>
      <w:r>
        <w:rPr>
          <w:rFonts w:ascii="Times New Roman" w:hAnsi="Times New Roman"/>
          <w:sz w:val="24"/>
          <w:szCs w:val="24"/>
        </w:rPr>
        <w:t xml:space="preserve">В случае возникновения фактической просрочки исполнения обязательства контрагентом/эмитентом сроком 90 дней и более, справедливая стоимость обязательств контрагента по договору, по которому допущена просрочка исполнения обязательств, в том числе вновь образуемых, признается равной 0. </w:t>
      </w:r>
    </w:p>
    <w:p w14:paraId="54DEF6D7" w14:textId="77777777" w:rsidR="000C1E0E" w:rsidRDefault="000C1E0E" w:rsidP="000C1E0E">
      <w:pPr>
        <w:spacing w:line="240" w:lineRule="auto"/>
        <w:jc w:val="left"/>
        <w:rPr>
          <w:rFonts w:ascii="Times New Roman" w:hAnsi="Times New Roman"/>
          <w:sz w:val="24"/>
          <w:szCs w:val="24"/>
          <w:lang w:eastAsia="en-US"/>
        </w:rPr>
      </w:pPr>
      <w:r>
        <w:rPr>
          <w:rFonts w:ascii="Times New Roman" w:hAnsi="Times New Roman"/>
          <w:sz w:val="24"/>
          <w:szCs w:val="24"/>
        </w:rPr>
        <w:br w:type="page"/>
      </w:r>
    </w:p>
    <w:p w14:paraId="7333AF0D" w14:textId="77777777" w:rsidR="000C1E0E" w:rsidRDefault="000C1E0E" w:rsidP="000C1E0E">
      <w:pPr>
        <w:tabs>
          <w:tab w:val="left" w:pos="3069"/>
        </w:tabs>
        <w:jc w:val="right"/>
        <w:rPr>
          <w:rFonts w:ascii="Times New Roman" w:eastAsia="Calibri" w:hAnsi="Times New Roman"/>
          <w:sz w:val="24"/>
          <w:szCs w:val="24"/>
        </w:rPr>
      </w:pPr>
      <w:r>
        <w:rPr>
          <w:rFonts w:ascii="Times New Roman" w:eastAsia="Calibri" w:hAnsi="Times New Roman"/>
          <w:sz w:val="24"/>
          <w:szCs w:val="24"/>
        </w:rPr>
        <w:t>Приложение №3</w:t>
      </w:r>
    </w:p>
    <w:p w14:paraId="20CF6D5A" w14:textId="77777777" w:rsidR="000C1E0E" w:rsidRDefault="000C1E0E" w:rsidP="000C1E0E">
      <w:pPr>
        <w:tabs>
          <w:tab w:val="left" w:pos="3069"/>
        </w:tabs>
        <w:jc w:val="right"/>
        <w:rPr>
          <w:rFonts w:ascii="Times New Roman" w:eastAsia="Calibri" w:hAnsi="Times New Roman"/>
          <w:sz w:val="24"/>
          <w:szCs w:val="24"/>
        </w:rPr>
      </w:pPr>
      <w:r>
        <w:rPr>
          <w:rFonts w:ascii="Times New Roman" w:eastAsia="Calibri" w:hAnsi="Times New Roman"/>
          <w:sz w:val="24"/>
          <w:szCs w:val="24"/>
        </w:rPr>
        <w:t>к Правилам</w:t>
      </w:r>
      <w:r>
        <w:rPr>
          <w:rFonts w:ascii="Times New Roman" w:hAnsi="Times New Roman"/>
          <w:sz w:val="24"/>
          <w:szCs w:val="24"/>
        </w:rPr>
        <w:t xml:space="preserve"> определения </w:t>
      </w:r>
      <w:r>
        <w:rPr>
          <w:rFonts w:ascii="Times New Roman" w:eastAsia="Calibri" w:hAnsi="Times New Roman"/>
          <w:sz w:val="24"/>
          <w:szCs w:val="24"/>
        </w:rPr>
        <w:t>СЧА</w:t>
      </w:r>
    </w:p>
    <w:p w14:paraId="50A2D143" w14:textId="77777777" w:rsidR="000C1E0E" w:rsidRDefault="000C1E0E" w:rsidP="000C1E0E">
      <w:pPr>
        <w:tabs>
          <w:tab w:val="left" w:pos="3069"/>
        </w:tabs>
        <w:jc w:val="right"/>
        <w:rPr>
          <w:rFonts w:ascii="Times New Roman" w:eastAsia="Calibri" w:hAnsi="Times New Roman"/>
          <w:sz w:val="24"/>
          <w:szCs w:val="24"/>
        </w:rPr>
      </w:pPr>
    </w:p>
    <w:p w14:paraId="1142E0B1" w14:textId="77777777" w:rsidR="000C1E0E" w:rsidRDefault="000C1E0E" w:rsidP="000C1E0E">
      <w:pPr>
        <w:jc w:val="center"/>
        <w:rPr>
          <w:b/>
          <w:sz w:val="24"/>
          <w:szCs w:val="24"/>
        </w:rPr>
      </w:pPr>
      <w:r>
        <w:rPr>
          <w:b/>
          <w:sz w:val="24"/>
          <w:szCs w:val="24"/>
        </w:rPr>
        <w:t>Порядок расчета денежных потоков облигации с неопределенным купоном в будущем в случае отсутствия цены 1 уровня</w:t>
      </w:r>
    </w:p>
    <w:p w14:paraId="4DB2A89D" w14:textId="77777777" w:rsidR="000C1E0E" w:rsidRDefault="000C1E0E" w:rsidP="000C1E0E">
      <w:pPr>
        <w:jc w:val="center"/>
        <w:rPr>
          <w:b/>
          <w:sz w:val="24"/>
          <w:szCs w:val="24"/>
        </w:rPr>
      </w:pPr>
    </w:p>
    <w:p w14:paraId="59FB5F5B" w14:textId="77777777" w:rsidR="000C1E0E" w:rsidRDefault="000C1E0E" w:rsidP="000C1E0E">
      <w:pPr>
        <w:ind w:firstLine="426"/>
        <w:rPr>
          <w:sz w:val="24"/>
          <w:szCs w:val="24"/>
        </w:rPr>
      </w:pPr>
      <w:r>
        <w:rPr>
          <w:sz w:val="24"/>
          <w:szCs w:val="24"/>
        </w:rPr>
        <w:t>По облигациям с переменным купоном для оценки будущих денежных потоков, величина которых не определена на момент оценки, используются различные подходы для двух случаев:</w:t>
      </w:r>
    </w:p>
    <w:p w14:paraId="1B861B79" w14:textId="77777777" w:rsidR="000C1E0E" w:rsidRDefault="000C1E0E" w:rsidP="000C1E0E">
      <w:pPr>
        <w:pStyle w:val="afc"/>
        <w:numPr>
          <w:ilvl w:val="0"/>
          <w:numId w:val="17"/>
        </w:numPr>
        <w:rPr>
          <w:rFonts w:ascii="Times New Roman" w:hAnsi="Times New Roman"/>
          <w:sz w:val="24"/>
          <w:szCs w:val="24"/>
        </w:rPr>
      </w:pPr>
      <w:r>
        <w:rPr>
          <w:rFonts w:ascii="Times New Roman" w:hAnsi="Times New Roman"/>
          <w:sz w:val="24"/>
          <w:szCs w:val="24"/>
        </w:rPr>
        <w:t>по выпуску/эмитенту не происходило резкого изменения кредитного качества;</w:t>
      </w:r>
    </w:p>
    <w:p w14:paraId="02D8BCA3" w14:textId="77777777" w:rsidR="000C1E0E" w:rsidRDefault="000C1E0E" w:rsidP="000C1E0E">
      <w:pPr>
        <w:pStyle w:val="afc"/>
        <w:numPr>
          <w:ilvl w:val="0"/>
          <w:numId w:val="17"/>
        </w:numPr>
        <w:rPr>
          <w:rFonts w:ascii="Times New Roman" w:hAnsi="Times New Roman"/>
          <w:sz w:val="24"/>
          <w:szCs w:val="24"/>
        </w:rPr>
      </w:pPr>
      <w:r>
        <w:rPr>
          <w:rFonts w:ascii="Times New Roman" w:hAnsi="Times New Roman"/>
          <w:sz w:val="24"/>
          <w:szCs w:val="24"/>
        </w:rPr>
        <w:t>по выпуску/эмитенту происходило резке изменения кредитного качества.</w:t>
      </w:r>
    </w:p>
    <w:p w14:paraId="4FC97E39" w14:textId="77777777" w:rsidR="000C1E0E" w:rsidRDefault="000C1E0E" w:rsidP="000C1E0E">
      <w:pPr>
        <w:pStyle w:val="afc"/>
        <w:numPr>
          <w:ilvl w:val="0"/>
          <w:numId w:val="18"/>
        </w:numPr>
        <w:spacing w:after="160" w:line="256" w:lineRule="auto"/>
        <w:jc w:val="both"/>
        <w:rPr>
          <w:rFonts w:ascii="Times New Roman" w:hAnsi="Times New Roman"/>
          <w:sz w:val="24"/>
          <w:szCs w:val="24"/>
        </w:rPr>
      </w:pPr>
      <w:r>
        <w:rPr>
          <w:rFonts w:ascii="Times New Roman" w:hAnsi="Times New Roman"/>
          <w:b/>
          <w:i/>
          <w:sz w:val="24"/>
          <w:szCs w:val="24"/>
        </w:rPr>
        <w:t>По выпуску/эмитенту не происходило резкого изменения кредитного качества.</w:t>
      </w:r>
      <w:r>
        <w:rPr>
          <w:rFonts w:ascii="Times New Roman" w:hAnsi="Times New Roman"/>
          <w:sz w:val="24"/>
          <w:szCs w:val="24"/>
        </w:rPr>
        <w:t xml:space="preserve"> </w:t>
      </w:r>
    </w:p>
    <w:p w14:paraId="7FFC35B6" w14:textId="77777777" w:rsidR="000C1E0E" w:rsidRDefault="000C1E0E" w:rsidP="000C1E0E">
      <w:pPr>
        <w:pStyle w:val="afc"/>
        <w:ind w:left="360"/>
        <w:rPr>
          <w:rFonts w:ascii="Times New Roman" w:hAnsi="Times New Roman"/>
          <w:sz w:val="24"/>
          <w:szCs w:val="24"/>
        </w:rPr>
      </w:pPr>
    </w:p>
    <w:p w14:paraId="09A57245" w14:textId="77777777" w:rsidR="000C1E0E" w:rsidRDefault="000C1E0E" w:rsidP="000C1E0E">
      <w:pPr>
        <w:pStyle w:val="afc"/>
        <w:ind w:left="360"/>
        <w:rPr>
          <w:rFonts w:ascii="Times New Roman" w:hAnsi="Times New Roman"/>
          <w:sz w:val="24"/>
          <w:szCs w:val="24"/>
        </w:rPr>
      </w:pPr>
      <w:r>
        <w:rPr>
          <w:rFonts w:ascii="Times New Roman" w:hAnsi="Times New Roman"/>
          <w:sz w:val="24"/>
          <w:szCs w:val="24"/>
        </w:rPr>
        <w:t>Методы, указанные ниже, применяются в иерархическом порядке.</w:t>
      </w:r>
    </w:p>
    <w:p w14:paraId="2B1D6ACE" w14:textId="77777777" w:rsidR="000C1E0E" w:rsidRDefault="000C1E0E" w:rsidP="000C1E0E">
      <w:pPr>
        <w:pStyle w:val="afc"/>
        <w:numPr>
          <w:ilvl w:val="1"/>
          <w:numId w:val="18"/>
        </w:numPr>
        <w:spacing w:after="160" w:line="256" w:lineRule="auto"/>
        <w:jc w:val="both"/>
        <w:rPr>
          <w:rFonts w:ascii="Times New Roman" w:hAnsi="Times New Roman"/>
          <w:sz w:val="24"/>
          <w:szCs w:val="24"/>
        </w:rPr>
      </w:pPr>
      <w:r>
        <w:rPr>
          <w:rFonts w:ascii="Times New Roman" w:hAnsi="Times New Roman"/>
          <w:sz w:val="24"/>
          <w:szCs w:val="24"/>
        </w:rPr>
        <w:t>При наличии прогноза МЭР по базовому показателю, используемому для определения величины купона (например, ИПЦ), величины купонов на сроки, имеющиеся в прогнозе МЭР, рассчитываются на основании данных прогноза МЭР. Если прогноз МЭР имеется не на весь период, то оставшиеся купоны определяются по методам, указанным ниже.</w:t>
      </w:r>
    </w:p>
    <w:p w14:paraId="22971AFB" w14:textId="77777777" w:rsidR="000C1E0E" w:rsidRDefault="000C1E0E" w:rsidP="000C1E0E">
      <w:pPr>
        <w:pStyle w:val="afc"/>
        <w:numPr>
          <w:ilvl w:val="1"/>
          <w:numId w:val="18"/>
        </w:numPr>
        <w:spacing w:after="160" w:line="256" w:lineRule="auto"/>
        <w:jc w:val="both"/>
        <w:rPr>
          <w:rFonts w:ascii="Times New Roman" w:hAnsi="Times New Roman"/>
          <w:sz w:val="24"/>
          <w:szCs w:val="24"/>
        </w:rPr>
      </w:pPr>
      <w:r>
        <w:rPr>
          <w:rFonts w:ascii="Times New Roman" w:hAnsi="Times New Roman"/>
          <w:sz w:val="24"/>
          <w:szCs w:val="24"/>
        </w:rPr>
        <w:t>При наличии хотя бы одного выпуска аналогичных облигаций (срок, объем выпуска) того же эмитента, по которым на дату оценки есть цена активного рынка, для расчета величины купонов цена принимается равной цене, дающей доходность по аналогичным облигациям. В целях расчета величины каждого отдельного будущего купона они принимаются равными на весь неопределённый оставшийся до погашения период. В случае наличия более одного выпуска аналогичных облигаций того же эмитента (одинаковый срок и объем), по которым на дату оценки есть цена активного рынка, для расчета величины купонов цена принимается равной средней цене таких выпусков.</w:t>
      </w:r>
    </w:p>
    <w:p w14:paraId="19F2E73A" w14:textId="77777777" w:rsidR="000C1E0E" w:rsidRDefault="000C1E0E" w:rsidP="000C1E0E">
      <w:pPr>
        <w:pStyle w:val="afc"/>
        <w:numPr>
          <w:ilvl w:val="1"/>
          <w:numId w:val="18"/>
        </w:numPr>
        <w:spacing w:after="160" w:line="256" w:lineRule="auto"/>
        <w:jc w:val="both"/>
        <w:rPr>
          <w:rFonts w:ascii="Times New Roman" w:hAnsi="Times New Roman"/>
          <w:sz w:val="24"/>
          <w:szCs w:val="24"/>
        </w:rPr>
      </w:pPr>
      <w:r>
        <w:rPr>
          <w:rFonts w:ascii="Times New Roman" w:hAnsi="Times New Roman"/>
          <w:sz w:val="24"/>
          <w:szCs w:val="24"/>
        </w:rPr>
        <w:t>При отсутствии цены активного рынка для аналогичных облигаций того же эмитента используется подход сохранения кредитного спрэда.</w:t>
      </w:r>
    </w:p>
    <w:p w14:paraId="169D5FF5" w14:textId="77777777" w:rsidR="000C1E0E" w:rsidRDefault="000C1E0E" w:rsidP="000C1E0E">
      <w:pPr>
        <w:pStyle w:val="afc"/>
        <w:numPr>
          <w:ilvl w:val="2"/>
          <w:numId w:val="18"/>
        </w:numPr>
        <w:spacing w:after="160" w:line="256" w:lineRule="auto"/>
        <w:jc w:val="both"/>
        <w:rPr>
          <w:rFonts w:ascii="Times New Roman" w:hAnsi="Times New Roman"/>
          <w:sz w:val="24"/>
          <w:szCs w:val="24"/>
        </w:rPr>
      </w:pPr>
      <w:r>
        <w:rPr>
          <w:rFonts w:ascii="Times New Roman" w:hAnsi="Times New Roman"/>
          <w:sz w:val="24"/>
          <w:szCs w:val="24"/>
        </w:rPr>
        <w:t xml:space="preserve">Если цена активного рынка по данной облигации могла быть определена не более чем 1 (один) месяц назад, то на каждый день с определяемой ценой рассчитывается разница ставок между доходностью к погашению по данной облигации и ставкой в </w:t>
      </w:r>
      <w:r>
        <w:rPr>
          <w:rFonts w:ascii="Times New Roman" w:hAnsi="Times New Roman"/>
          <w:sz w:val="24"/>
          <w:szCs w:val="24"/>
          <w:lang w:val="en-US"/>
        </w:rPr>
        <w:t>G</w:t>
      </w:r>
      <w:r>
        <w:rPr>
          <w:rFonts w:ascii="Times New Roman" w:hAnsi="Times New Roman"/>
          <w:sz w:val="24"/>
          <w:szCs w:val="24"/>
        </w:rPr>
        <w:t>-кривой по ОФЗ на срок, равный дюрации облигации. Спрэд определяется как среднее значение между этими разницами. Для расчета величины неизвестных купонов цена принимается равной цене, дающей доходность, равную (r+Spread) на дату оценки, где:</w:t>
      </w:r>
    </w:p>
    <w:p w14:paraId="2E770336" w14:textId="77777777" w:rsidR="000C1E0E" w:rsidRDefault="000C1E0E" w:rsidP="000C1E0E">
      <w:pPr>
        <w:pStyle w:val="afc"/>
        <w:spacing w:line="360" w:lineRule="auto"/>
        <w:ind w:left="876" w:firstLine="348"/>
        <w:rPr>
          <w:rFonts w:ascii="Times New Roman" w:hAnsi="Times New Roman"/>
          <w:sz w:val="24"/>
          <w:szCs w:val="24"/>
        </w:rPr>
      </w:pPr>
      <w:r>
        <w:rPr>
          <w:rFonts w:ascii="Times New Roman" w:hAnsi="Times New Roman"/>
          <w:sz w:val="24"/>
          <w:szCs w:val="24"/>
        </w:rPr>
        <w:t>r</w:t>
      </w:r>
      <w:r>
        <w:rPr>
          <w:rFonts w:ascii="Times New Roman" w:hAnsi="Times New Roman"/>
          <w:sz w:val="24"/>
          <w:szCs w:val="24"/>
        </w:rPr>
        <w:tab/>
        <w:t xml:space="preserve"> – ставка кривой бескупонной доходности рынка ОФЗ (G-кривая), </w:t>
      </w:r>
    </w:p>
    <w:p w14:paraId="26C2F3DA" w14:textId="77777777" w:rsidR="000C1E0E" w:rsidRDefault="000C1E0E" w:rsidP="000C1E0E">
      <w:pPr>
        <w:pStyle w:val="afc"/>
        <w:ind w:left="876" w:firstLine="348"/>
        <w:rPr>
          <w:rFonts w:ascii="Times New Roman" w:hAnsi="Times New Roman"/>
          <w:sz w:val="24"/>
          <w:szCs w:val="24"/>
        </w:rPr>
      </w:pPr>
      <w:r>
        <w:rPr>
          <w:rFonts w:ascii="Times New Roman" w:hAnsi="Times New Roman"/>
          <w:sz w:val="24"/>
          <w:szCs w:val="24"/>
        </w:rPr>
        <w:t>Spread – средний спред.</w:t>
      </w:r>
    </w:p>
    <w:p w14:paraId="2011C5BE" w14:textId="77777777" w:rsidR="000C1E0E" w:rsidRDefault="000C1E0E" w:rsidP="000C1E0E">
      <w:pPr>
        <w:pStyle w:val="afc"/>
        <w:numPr>
          <w:ilvl w:val="2"/>
          <w:numId w:val="18"/>
        </w:numPr>
        <w:spacing w:after="160" w:line="256" w:lineRule="auto"/>
        <w:jc w:val="both"/>
        <w:rPr>
          <w:rFonts w:ascii="Times New Roman" w:hAnsi="Times New Roman"/>
          <w:sz w:val="24"/>
          <w:szCs w:val="24"/>
        </w:rPr>
      </w:pPr>
      <w:r>
        <w:rPr>
          <w:rFonts w:ascii="Times New Roman" w:hAnsi="Times New Roman"/>
          <w:sz w:val="24"/>
          <w:szCs w:val="24"/>
        </w:rPr>
        <w:t>Если цена активного рынка облигации не могла быть определена не более чем 1 месяц назад, то в качестве кредитного спрэда принимается усредненный кредитный спрэд за один месяц не более чем по трем другим облигациям того же эмитента с наиболее близкими к оцениваемому дюрациями. Кредитный спрэд рассчитывается аналогично п. 1.3.1.</w:t>
      </w:r>
    </w:p>
    <w:p w14:paraId="64DBD1CE" w14:textId="77777777" w:rsidR="000C1E0E" w:rsidRDefault="000C1E0E" w:rsidP="000C1E0E">
      <w:pPr>
        <w:pStyle w:val="afc"/>
        <w:numPr>
          <w:ilvl w:val="2"/>
          <w:numId w:val="18"/>
        </w:numPr>
        <w:spacing w:after="160" w:line="256" w:lineRule="auto"/>
        <w:jc w:val="both"/>
        <w:rPr>
          <w:rFonts w:ascii="Times New Roman" w:hAnsi="Times New Roman"/>
          <w:sz w:val="24"/>
          <w:szCs w:val="24"/>
        </w:rPr>
      </w:pPr>
      <w:r>
        <w:rPr>
          <w:rFonts w:ascii="Times New Roman" w:hAnsi="Times New Roman"/>
          <w:sz w:val="24"/>
          <w:szCs w:val="24"/>
        </w:rPr>
        <w:t>Если эмитент не имеет других облигаций, имеющих цену активного рынка в течение предыдущего месяца, то для оценки неизвестных купонов применяется подход «эшелонов» кредитного риска по рейтингу эмитента. Доходность принимается равной доходности по соответствующему индексу облигаций, соответствующему рейтинговой группе, к которой относится оцениваемая облигация:</w:t>
      </w:r>
    </w:p>
    <w:p w14:paraId="600CA61F" w14:textId="77777777" w:rsidR="000C1E0E" w:rsidRDefault="000C1E0E" w:rsidP="000C1E0E">
      <w:pPr>
        <w:spacing w:after="120"/>
        <w:ind w:left="1276"/>
        <w:rPr>
          <w:rFonts w:ascii="Times New Roman" w:hAnsi="Times New Roman"/>
          <w:sz w:val="24"/>
          <w:szCs w:val="24"/>
        </w:rPr>
      </w:pPr>
      <w:r>
        <w:rPr>
          <w:rFonts w:ascii="Times New Roman" w:hAnsi="Times New Roman"/>
          <w:sz w:val="24"/>
          <w:szCs w:val="24"/>
        </w:rPr>
        <w:t>В зависимости от кредитного рейтинга у выпуска долговой ценной бумаги (кредитный рейтинг в валюте номинала), а в случае его отсутствия - рейтинга эмитента или поручителя (гаранта) долговой ценной бумаги, долговая ценная бумага может быть отнесена к одной из четырех рейтинговых групп. При наличии нескольких рейтингов, выбирается наибольший из имеющихся актуальных кредитных рейтингов. Если поручительство по выпуску долговой ценной бумаги обеспечивает исполнение обязательств в полном объёме и (или) гарантия выдана на сумму номинальной стоимости и процентов по таким долговым ценным бумагам, то выбирается наибольший из имеющихся актуальных кредитных рейтингов выпуска долговой ценной бумаги и поручителя (гаранта).</w:t>
      </w:r>
    </w:p>
    <w:tbl>
      <w:tblPr>
        <w:tblW w:w="9631" w:type="dxa"/>
        <w:jc w:val="center"/>
        <w:tblLook w:val="04A0" w:firstRow="1" w:lastRow="0" w:firstColumn="1" w:lastColumn="0" w:noHBand="0" w:noVBand="1"/>
      </w:tblPr>
      <w:tblGrid>
        <w:gridCol w:w="1325"/>
        <w:gridCol w:w="1120"/>
        <w:gridCol w:w="1986"/>
        <w:gridCol w:w="1986"/>
        <w:gridCol w:w="1986"/>
        <w:gridCol w:w="1611"/>
      </w:tblGrid>
      <w:tr w:rsidR="000C1E0E" w14:paraId="6FF83522" w14:textId="77777777" w:rsidTr="0098752B">
        <w:trPr>
          <w:trHeight w:val="180"/>
          <w:jc w:val="center"/>
        </w:trPr>
        <w:tc>
          <w:tcPr>
            <w:tcW w:w="1833" w:type="dxa"/>
            <w:vMerge w:val="restart"/>
            <w:tcBorders>
              <w:top w:val="single" w:sz="8" w:space="0" w:color="auto"/>
              <w:left w:val="single" w:sz="8" w:space="0" w:color="auto"/>
              <w:bottom w:val="single" w:sz="8" w:space="0" w:color="000000"/>
              <w:right w:val="single" w:sz="8" w:space="0" w:color="auto"/>
            </w:tcBorders>
            <w:vAlign w:val="center"/>
            <w:hideMark/>
          </w:tcPr>
          <w:p w14:paraId="604DEEBE" w14:textId="77777777" w:rsidR="000C1E0E" w:rsidRDefault="000C1E0E" w:rsidP="0098752B">
            <w:pPr>
              <w:jc w:val="center"/>
              <w:rPr>
                <w:b/>
                <w:bCs/>
                <w:sz w:val="24"/>
                <w:szCs w:val="24"/>
              </w:rPr>
            </w:pPr>
            <w:r>
              <w:rPr>
                <w:b/>
                <w:bCs/>
                <w:sz w:val="24"/>
                <w:szCs w:val="24"/>
              </w:rPr>
              <w:t>АКРА</w:t>
            </w:r>
          </w:p>
        </w:tc>
        <w:tc>
          <w:tcPr>
            <w:tcW w:w="1287" w:type="dxa"/>
            <w:vMerge w:val="restart"/>
            <w:tcBorders>
              <w:top w:val="single" w:sz="8" w:space="0" w:color="auto"/>
              <w:left w:val="single" w:sz="8" w:space="0" w:color="auto"/>
              <w:bottom w:val="single" w:sz="8" w:space="0" w:color="000000"/>
              <w:right w:val="single" w:sz="8" w:space="0" w:color="auto"/>
            </w:tcBorders>
            <w:vAlign w:val="center"/>
            <w:hideMark/>
          </w:tcPr>
          <w:p w14:paraId="28CCD60D" w14:textId="77777777" w:rsidR="000C1E0E" w:rsidRDefault="000C1E0E" w:rsidP="0098752B">
            <w:pPr>
              <w:jc w:val="center"/>
              <w:rPr>
                <w:b/>
                <w:bCs/>
                <w:sz w:val="24"/>
                <w:szCs w:val="24"/>
              </w:rPr>
            </w:pPr>
            <w:r>
              <w:rPr>
                <w:b/>
                <w:bCs/>
                <w:sz w:val="24"/>
                <w:szCs w:val="24"/>
              </w:rPr>
              <w:t>Эксперт РА</w:t>
            </w:r>
          </w:p>
        </w:tc>
        <w:tc>
          <w:tcPr>
            <w:tcW w:w="1691" w:type="dxa"/>
            <w:tcBorders>
              <w:top w:val="single" w:sz="8" w:space="0" w:color="auto"/>
              <w:left w:val="nil"/>
              <w:bottom w:val="single" w:sz="4" w:space="0" w:color="auto"/>
              <w:right w:val="single" w:sz="8" w:space="0" w:color="auto"/>
            </w:tcBorders>
            <w:noWrap/>
            <w:vAlign w:val="center"/>
            <w:hideMark/>
          </w:tcPr>
          <w:p w14:paraId="553C8132" w14:textId="77777777" w:rsidR="000C1E0E" w:rsidRDefault="000C1E0E" w:rsidP="0098752B">
            <w:pPr>
              <w:jc w:val="center"/>
              <w:rPr>
                <w:b/>
                <w:bCs/>
                <w:sz w:val="24"/>
                <w:szCs w:val="24"/>
              </w:rPr>
            </w:pPr>
            <w:r>
              <w:rPr>
                <w:b/>
                <w:bCs/>
                <w:sz w:val="24"/>
                <w:szCs w:val="24"/>
              </w:rPr>
              <w:t>Moody`s</w:t>
            </w:r>
          </w:p>
        </w:tc>
        <w:tc>
          <w:tcPr>
            <w:tcW w:w="1700" w:type="dxa"/>
            <w:tcBorders>
              <w:top w:val="single" w:sz="8" w:space="0" w:color="auto"/>
              <w:left w:val="nil"/>
              <w:bottom w:val="single" w:sz="4" w:space="0" w:color="auto"/>
              <w:right w:val="nil"/>
            </w:tcBorders>
            <w:vAlign w:val="center"/>
            <w:hideMark/>
          </w:tcPr>
          <w:p w14:paraId="0D353827" w14:textId="77777777" w:rsidR="000C1E0E" w:rsidRDefault="000C1E0E" w:rsidP="0098752B">
            <w:pPr>
              <w:jc w:val="center"/>
              <w:rPr>
                <w:b/>
                <w:bCs/>
                <w:sz w:val="24"/>
                <w:szCs w:val="24"/>
              </w:rPr>
            </w:pPr>
            <w:r>
              <w:rPr>
                <w:b/>
                <w:bCs/>
                <w:sz w:val="24"/>
                <w:szCs w:val="24"/>
              </w:rPr>
              <w:t>S&amp;P</w:t>
            </w:r>
          </w:p>
        </w:tc>
        <w:tc>
          <w:tcPr>
            <w:tcW w:w="1701" w:type="dxa"/>
            <w:tcBorders>
              <w:top w:val="single" w:sz="8" w:space="0" w:color="auto"/>
              <w:left w:val="single" w:sz="8" w:space="0" w:color="auto"/>
              <w:bottom w:val="single" w:sz="4" w:space="0" w:color="auto"/>
              <w:right w:val="single" w:sz="8" w:space="0" w:color="auto"/>
            </w:tcBorders>
            <w:noWrap/>
            <w:vAlign w:val="center"/>
            <w:hideMark/>
          </w:tcPr>
          <w:p w14:paraId="4DB7F39A" w14:textId="77777777" w:rsidR="000C1E0E" w:rsidRDefault="000C1E0E" w:rsidP="0098752B">
            <w:pPr>
              <w:jc w:val="center"/>
              <w:rPr>
                <w:b/>
                <w:bCs/>
                <w:sz w:val="24"/>
                <w:szCs w:val="24"/>
              </w:rPr>
            </w:pPr>
            <w:r>
              <w:rPr>
                <w:b/>
                <w:bCs/>
                <w:sz w:val="24"/>
                <w:szCs w:val="24"/>
              </w:rPr>
              <w:t>Fitch</w:t>
            </w:r>
          </w:p>
        </w:tc>
        <w:tc>
          <w:tcPr>
            <w:tcW w:w="1419" w:type="dxa"/>
            <w:vMerge w:val="restart"/>
            <w:tcBorders>
              <w:top w:val="single" w:sz="8" w:space="0" w:color="auto"/>
              <w:left w:val="single" w:sz="8" w:space="0" w:color="auto"/>
              <w:bottom w:val="single" w:sz="4" w:space="0" w:color="auto"/>
              <w:right w:val="single" w:sz="8" w:space="0" w:color="auto"/>
            </w:tcBorders>
            <w:noWrap/>
            <w:vAlign w:val="center"/>
            <w:hideMark/>
          </w:tcPr>
          <w:p w14:paraId="25094712" w14:textId="77777777" w:rsidR="000C1E0E" w:rsidRDefault="000C1E0E" w:rsidP="0098752B">
            <w:pPr>
              <w:jc w:val="center"/>
              <w:rPr>
                <w:b/>
                <w:bCs/>
                <w:sz w:val="24"/>
                <w:szCs w:val="24"/>
              </w:rPr>
            </w:pPr>
            <w:r>
              <w:rPr>
                <w:b/>
                <w:bCs/>
                <w:sz w:val="24"/>
                <w:szCs w:val="24"/>
              </w:rPr>
              <w:t>Рейтинговая группа</w:t>
            </w:r>
          </w:p>
        </w:tc>
      </w:tr>
      <w:tr w:rsidR="000C1E0E" w14:paraId="2F30D86A" w14:textId="77777777" w:rsidTr="0098752B">
        <w:trPr>
          <w:trHeight w:val="613"/>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01B5104" w14:textId="77777777" w:rsidR="000C1E0E" w:rsidRDefault="000C1E0E" w:rsidP="0098752B">
            <w:pPr>
              <w:spacing w:line="240" w:lineRule="auto"/>
              <w:jc w:val="left"/>
              <w:rPr>
                <w:b/>
                <w:bCs/>
                <w:sz w:val="24"/>
                <w:szCs w:val="24"/>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2FFBD13" w14:textId="77777777" w:rsidR="000C1E0E" w:rsidRDefault="000C1E0E" w:rsidP="0098752B">
            <w:pPr>
              <w:spacing w:line="240" w:lineRule="auto"/>
              <w:jc w:val="left"/>
              <w:rPr>
                <w:b/>
                <w:bCs/>
                <w:sz w:val="24"/>
                <w:szCs w:val="24"/>
              </w:rPr>
            </w:pPr>
          </w:p>
        </w:tc>
        <w:tc>
          <w:tcPr>
            <w:tcW w:w="1691" w:type="dxa"/>
            <w:tcBorders>
              <w:top w:val="single" w:sz="4" w:space="0" w:color="auto"/>
              <w:left w:val="single" w:sz="4" w:space="0" w:color="auto"/>
              <w:bottom w:val="single" w:sz="4" w:space="0" w:color="auto"/>
              <w:right w:val="single" w:sz="4" w:space="0" w:color="auto"/>
            </w:tcBorders>
            <w:vAlign w:val="center"/>
            <w:hideMark/>
          </w:tcPr>
          <w:p w14:paraId="38056BB4" w14:textId="77777777" w:rsidR="000C1E0E" w:rsidRDefault="000C1E0E" w:rsidP="0098752B">
            <w:pPr>
              <w:jc w:val="center"/>
              <w:rPr>
                <w:b/>
                <w:bCs/>
                <w:sz w:val="24"/>
                <w:szCs w:val="24"/>
              </w:rPr>
            </w:pPr>
            <w:r>
              <w:rPr>
                <w:b/>
                <w:bCs/>
                <w:sz w:val="24"/>
                <w:szCs w:val="24"/>
              </w:rPr>
              <w:t>Международная шкала</w:t>
            </w:r>
          </w:p>
        </w:tc>
        <w:tc>
          <w:tcPr>
            <w:tcW w:w="1700" w:type="dxa"/>
            <w:tcBorders>
              <w:top w:val="single" w:sz="4" w:space="0" w:color="auto"/>
              <w:left w:val="single" w:sz="4" w:space="0" w:color="auto"/>
              <w:bottom w:val="single" w:sz="4" w:space="0" w:color="auto"/>
              <w:right w:val="single" w:sz="4" w:space="0" w:color="auto"/>
            </w:tcBorders>
            <w:vAlign w:val="center"/>
            <w:hideMark/>
          </w:tcPr>
          <w:p w14:paraId="43019E26" w14:textId="77777777" w:rsidR="000C1E0E" w:rsidRDefault="000C1E0E" w:rsidP="0098752B">
            <w:pPr>
              <w:jc w:val="center"/>
              <w:rPr>
                <w:b/>
                <w:bCs/>
                <w:sz w:val="24"/>
                <w:szCs w:val="24"/>
              </w:rPr>
            </w:pPr>
            <w:r>
              <w:rPr>
                <w:b/>
                <w:bCs/>
                <w:sz w:val="24"/>
                <w:szCs w:val="24"/>
              </w:rPr>
              <w:t>Международная шкала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01CF5C4" w14:textId="77777777" w:rsidR="000C1E0E" w:rsidRDefault="000C1E0E" w:rsidP="0098752B">
            <w:pPr>
              <w:jc w:val="center"/>
              <w:rPr>
                <w:b/>
                <w:bCs/>
                <w:sz w:val="24"/>
                <w:szCs w:val="24"/>
              </w:rPr>
            </w:pPr>
            <w:r>
              <w:rPr>
                <w:b/>
                <w:bCs/>
                <w:sz w:val="24"/>
                <w:szCs w:val="24"/>
              </w:rPr>
              <w:t>Международная шкала</w:t>
            </w:r>
          </w:p>
        </w:tc>
        <w:tc>
          <w:tcPr>
            <w:tcW w:w="0" w:type="auto"/>
            <w:vMerge/>
            <w:tcBorders>
              <w:top w:val="single" w:sz="8" w:space="0" w:color="auto"/>
              <w:left w:val="single" w:sz="8" w:space="0" w:color="auto"/>
              <w:bottom w:val="single" w:sz="4" w:space="0" w:color="auto"/>
              <w:right w:val="single" w:sz="8" w:space="0" w:color="auto"/>
            </w:tcBorders>
            <w:vAlign w:val="center"/>
            <w:hideMark/>
          </w:tcPr>
          <w:p w14:paraId="620D3180" w14:textId="77777777" w:rsidR="000C1E0E" w:rsidRDefault="000C1E0E" w:rsidP="0098752B">
            <w:pPr>
              <w:spacing w:line="240" w:lineRule="auto"/>
              <w:jc w:val="left"/>
              <w:rPr>
                <w:b/>
                <w:bCs/>
                <w:sz w:val="24"/>
                <w:szCs w:val="24"/>
              </w:rPr>
            </w:pPr>
          </w:p>
        </w:tc>
      </w:tr>
      <w:tr w:rsidR="000C1E0E" w14:paraId="6E168897"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7FEB16F9" w14:textId="77777777" w:rsidR="000C1E0E" w:rsidRDefault="000C1E0E" w:rsidP="0098752B">
            <w:pPr>
              <w:jc w:val="center"/>
              <w:rPr>
                <w:sz w:val="24"/>
                <w:szCs w:val="24"/>
              </w:rPr>
            </w:pPr>
            <w:r>
              <w:rPr>
                <w:sz w:val="24"/>
                <w:szCs w:val="24"/>
              </w:rPr>
              <w:t> </w:t>
            </w:r>
          </w:p>
        </w:tc>
        <w:tc>
          <w:tcPr>
            <w:tcW w:w="1287" w:type="dxa"/>
            <w:tcBorders>
              <w:top w:val="nil"/>
              <w:left w:val="nil"/>
              <w:bottom w:val="single" w:sz="8" w:space="0" w:color="auto"/>
              <w:right w:val="single" w:sz="8" w:space="0" w:color="auto"/>
            </w:tcBorders>
            <w:vAlign w:val="center"/>
            <w:hideMark/>
          </w:tcPr>
          <w:p w14:paraId="78DD3EB2" w14:textId="77777777" w:rsidR="000C1E0E" w:rsidRDefault="000C1E0E" w:rsidP="0098752B">
            <w:pPr>
              <w:jc w:val="center"/>
              <w:rPr>
                <w:sz w:val="24"/>
                <w:szCs w:val="24"/>
              </w:rPr>
            </w:pPr>
            <w:r>
              <w:rPr>
                <w:sz w:val="24"/>
                <w:szCs w:val="24"/>
              </w:rPr>
              <w:t> </w:t>
            </w:r>
          </w:p>
        </w:tc>
        <w:tc>
          <w:tcPr>
            <w:tcW w:w="1691" w:type="dxa"/>
            <w:tcBorders>
              <w:top w:val="single" w:sz="4" w:space="0" w:color="auto"/>
              <w:left w:val="nil"/>
              <w:bottom w:val="single" w:sz="8" w:space="0" w:color="auto"/>
              <w:right w:val="single" w:sz="8" w:space="0" w:color="auto"/>
            </w:tcBorders>
            <w:noWrap/>
            <w:vAlign w:val="center"/>
            <w:hideMark/>
          </w:tcPr>
          <w:p w14:paraId="5ABB369D" w14:textId="77777777" w:rsidR="000C1E0E" w:rsidRDefault="000C1E0E" w:rsidP="0098752B">
            <w:pPr>
              <w:jc w:val="center"/>
              <w:rPr>
                <w:sz w:val="24"/>
                <w:szCs w:val="24"/>
              </w:rPr>
            </w:pPr>
            <w:r>
              <w:rPr>
                <w:sz w:val="24"/>
                <w:szCs w:val="24"/>
              </w:rPr>
              <w:t>Ваа1</w:t>
            </w:r>
          </w:p>
        </w:tc>
        <w:tc>
          <w:tcPr>
            <w:tcW w:w="1700" w:type="dxa"/>
            <w:tcBorders>
              <w:top w:val="single" w:sz="4" w:space="0" w:color="auto"/>
              <w:left w:val="nil"/>
              <w:bottom w:val="single" w:sz="8" w:space="0" w:color="auto"/>
              <w:right w:val="single" w:sz="8" w:space="0" w:color="auto"/>
            </w:tcBorders>
            <w:vAlign w:val="center"/>
            <w:hideMark/>
          </w:tcPr>
          <w:p w14:paraId="5B2AF9ED" w14:textId="77777777" w:rsidR="000C1E0E" w:rsidRDefault="000C1E0E" w:rsidP="0098752B">
            <w:pPr>
              <w:jc w:val="center"/>
              <w:rPr>
                <w:sz w:val="24"/>
                <w:szCs w:val="24"/>
              </w:rPr>
            </w:pPr>
            <w:r>
              <w:rPr>
                <w:sz w:val="24"/>
                <w:szCs w:val="24"/>
              </w:rPr>
              <w:t>ВВВ+</w:t>
            </w:r>
          </w:p>
        </w:tc>
        <w:tc>
          <w:tcPr>
            <w:tcW w:w="1701" w:type="dxa"/>
            <w:tcBorders>
              <w:top w:val="single" w:sz="4" w:space="0" w:color="auto"/>
              <w:left w:val="nil"/>
              <w:bottom w:val="single" w:sz="8" w:space="0" w:color="auto"/>
              <w:right w:val="single" w:sz="4" w:space="0" w:color="auto"/>
            </w:tcBorders>
            <w:noWrap/>
            <w:vAlign w:val="center"/>
            <w:hideMark/>
          </w:tcPr>
          <w:p w14:paraId="1AC2F196" w14:textId="77777777" w:rsidR="000C1E0E" w:rsidRDefault="000C1E0E" w:rsidP="0098752B">
            <w:pPr>
              <w:jc w:val="center"/>
              <w:rPr>
                <w:sz w:val="24"/>
                <w:szCs w:val="24"/>
              </w:rPr>
            </w:pPr>
            <w:r>
              <w:rPr>
                <w:sz w:val="24"/>
                <w:szCs w:val="24"/>
              </w:rPr>
              <w:t>ВВВ+</w:t>
            </w:r>
          </w:p>
        </w:tc>
        <w:tc>
          <w:tcPr>
            <w:tcW w:w="1419" w:type="dxa"/>
            <w:vMerge w:val="restart"/>
            <w:tcBorders>
              <w:top w:val="single" w:sz="4" w:space="0" w:color="auto"/>
              <w:left w:val="single" w:sz="4" w:space="0" w:color="auto"/>
              <w:bottom w:val="single" w:sz="4" w:space="0" w:color="auto"/>
              <w:right w:val="single" w:sz="4" w:space="0" w:color="auto"/>
            </w:tcBorders>
            <w:noWrap/>
            <w:vAlign w:val="center"/>
            <w:hideMark/>
          </w:tcPr>
          <w:p w14:paraId="43BABDF7" w14:textId="77777777" w:rsidR="000C1E0E" w:rsidRDefault="000C1E0E" w:rsidP="0098752B">
            <w:pPr>
              <w:jc w:val="center"/>
              <w:rPr>
                <w:b/>
                <w:bCs/>
                <w:sz w:val="24"/>
                <w:szCs w:val="24"/>
              </w:rPr>
            </w:pPr>
            <w:r>
              <w:rPr>
                <w:b/>
                <w:bCs/>
                <w:sz w:val="24"/>
                <w:szCs w:val="24"/>
              </w:rPr>
              <w:t>Рейтинговая группа I</w:t>
            </w:r>
          </w:p>
        </w:tc>
      </w:tr>
      <w:tr w:rsidR="000C1E0E" w14:paraId="3A017C87"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7182FD37" w14:textId="77777777" w:rsidR="000C1E0E" w:rsidRDefault="000C1E0E" w:rsidP="0098752B">
            <w:pPr>
              <w:jc w:val="center"/>
              <w:rPr>
                <w:sz w:val="24"/>
                <w:szCs w:val="24"/>
              </w:rPr>
            </w:pPr>
            <w:r>
              <w:rPr>
                <w:sz w:val="24"/>
                <w:szCs w:val="24"/>
              </w:rPr>
              <w:t> </w:t>
            </w:r>
          </w:p>
        </w:tc>
        <w:tc>
          <w:tcPr>
            <w:tcW w:w="1287" w:type="dxa"/>
            <w:tcBorders>
              <w:top w:val="nil"/>
              <w:left w:val="nil"/>
              <w:bottom w:val="single" w:sz="8" w:space="0" w:color="auto"/>
              <w:right w:val="single" w:sz="8" w:space="0" w:color="auto"/>
            </w:tcBorders>
            <w:vAlign w:val="center"/>
            <w:hideMark/>
          </w:tcPr>
          <w:p w14:paraId="49392AA1" w14:textId="77777777" w:rsidR="000C1E0E" w:rsidRDefault="000C1E0E" w:rsidP="0098752B">
            <w:pPr>
              <w:jc w:val="center"/>
              <w:rPr>
                <w:sz w:val="24"/>
                <w:szCs w:val="24"/>
              </w:rPr>
            </w:pPr>
            <w:r>
              <w:rPr>
                <w:sz w:val="24"/>
                <w:szCs w:val="24"/>
              </w:rPr>
              <w:t> </w:t>
            </w:r>
          </w:p>
        </w:tc>
        <w:tc>
          <w:tcPr>
            <w:tcW w:w="1691" w:type="dxa"/>
            <w:tcBorders>
              <w:top w:val="nil"/>
              <w:left w:val="nil"/>
              <w:bottom w:val="single" w:sz="8" w:space="0" w:color="auto"/>
              <w:right w:val="single" w:sz="8" w:space="0" w:color="auto"/>
            </w:tcBorders>
            <w:noWrap/>
            <w:vAlign w:val="center"/>
            <w:hideMark/>
          </w:tcPr>
          <w:p w14:paraId="312541E0" w14:textId="77777777" w:rsidR="000C1E0E" w:rsidRDefault="000C1E0E" w:rsidP="0098752B">
            <w:pPr>
              <w:jc w:val="center"/>
              <w:rPr>
                <w:sz w:val="24"/>
                <w:szCs w:val="24"/>
              </w:rPr>
            </w:pPr>
            <w:r>
              <w:rPr>
                <w:sz w:val="24"/>
                <w:szCs w:val="24"/>
              </w:rPr>
              <w:t>Ваа2</w:t>
            </w:r>
          </w:p>
        </w:tc>
        <w:tc>
          <w:tcPr>
            <w:tcW w:w="1700" w:type="dxa"/>
            <w:tcBorders>
              <w:top w:val="nil"/>
              <w:left w:val="nil"/>
              <w:bottom w:val="single" w:sz="8" w:space="0" w:color="auto"/>
              <w:right w:val="single" w:sz="8" w:space="0" w:color="auto"/>
            </w:tcBorders>
            <w:vAlign w:val="center"/>
            <w:hideMark/>
          </w:tcPr>
          <w:p w14:paraId="7D5CEA9D" w14:textId="77777777" w:rsidR="000C1E0E" w:rsidRDefault="000C1E0E" w:rsidP="0098752B">
            <w:pPr>
              <w:jc w:val="center"/>
              <w:rPr>
                <w:sz w:val="24"/>
                <w:szCs w:val="24"/>
              </w:rPr>
            </w:pPr>
            <w:r>
              <w:rPr>
                <w:sz w:val="24"/>
                <w:szCs w:val="24"/>
              </w:rPr>
              <w:t>ВВВ</w:t>
            </w:r>
          </w:p>
        </w:tc>
        <w:tc>
          <w:tcPr>
            <w:tcW w:w="1701" w:type="dxa"/>
            <w:tcBorders>
              <w:top w:val="nil"/>
              <w:left w:val="nil"/>
              <w:bottom w:val="single" w:sz="8" w:space="0" w:color="auto"/>
              <w:right w:val="single" w:sz="4" w:space="0" w:color="auto"/>
            </w:tcBorders>
            <w:noWrap/>
            <w:vAlign w:val="center"/>
            <w:hideMark/>
          </w:tcPr>
          <w:p w14:paraId="70A18ABC" w14:textId="77777777" w:rsidR="000C1E0E" w:rsidRDefault="000C1E0E" w:rsidP="0098752B">
            <w:pPr>
              <w:jc w:val="center"/>
              <w:rPr>
                <w:sz w:val="24"/>
                <w:szCs w:val="24"/>
              </w:rPr>
            </w:pPr>
            <w:r>
              <w:rPr>
                <w:sz w:val="24"/>
                <w:szCs w:val="24"/>
              </w:rPr>
              <w:t>ВВВ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543853" w14:textId="77777777" w:rsidR="000C1E0E" w:rsidRDefault="000C1E0E" w:rsidP="0098752B">
            <w:pPr>
              <w:spacing w:line="240" w:lineRule="auto"/>
              <w:jc w:val="left"/>
              <w:rPr>
                <w:b/>
                <w:bCs/>
                <w:sz w:val="24"/>
                <w:szCs w:val="24"/>
              </w:rPr>
            </w:pPr>
          </w:p>
        </w:tc>
      </w:tr>
      <w:tr w:rsidR="000C1E0E" w14:paraId="7C2449CC"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66131F9C" w14:textId="77777777" w:rsidR="000C1E0E" w:rsidRDefault="000C1E0E" w:rsidP="0098752B">
            <w:pPr>
              <w:jc w:val="center"/>
              <w:rPr>
                <w:sz w:val="24"/>
                <w:szCs w:val="24"/>
              </w:rPr>
            </w:pPr>
            <w:r>
              <w:rPr>
                <w:sz w:val="24"/>
                <w:szCs w:val="24"/>
              </w:rPr>
              <w:t>AAA(RU)</w:t>
            </w:r>
          </w:p>
        </w:tc>
        <w:tc>
          <w:tcPr>
            <w:tcW w:w="1287" w:type="dxa"/>
            <w:tcBorders>
              <w:top w:val="nil"/>
              <w:left w:val="nil"/>
              <w:bottom w:val="single" w:sz="8" w:space="0" w:color="auto"/>
              <w:right w:val="single" w:sz="8" w:space="0" w:color="auto"/>
            </w:tcBorders>
            <w:vAlign w:val="center"/>
            <w:hideMark/>
          </w:tcPr>
          <w:p w14:paraId="06B0805D" w14:textId="77777777" w:rsidR="000C1E0E" w:rsidRDefault="000C1E0E" w:rsidP="0098752B">
            <w:pPr>
              <w:jc w:val="center"/>
              <w:rPr>
                <w:sz w:val="24"/>
                <w:szCs w:val="24"/>
              </w:rPr>
            </w:pPr>
            <w:r>
              <w:rPr>
                <w:sz w:val="24"/>
                <w:szCs w:val="24"/>
              </w:rPr>
              <w:t>ruAAA</w:t>
            </w:r>
          </w:p>
        </w:tc>
        <w:tc>
          <w:tcPr>
            <w:tcW w:w="1691" w:type="dxa"/>
            <w:tcBorders>
              <w:top w:val="nil"/>
              <w:left w:val="nil"/>
              <w:bottom w:val="single" w:sz="8" w:space="0" w:color="auto"/>
              <w:right w:val="single" w:sz="8" w:space="0" w:color="auto"/>
            </w:tcBorders>
            <w:noWrap/>
            <w:vAlign w:val="center"/>
            <w:hideMark/>
          </w:tcPr>
          <w:p w14:paraId="3C391759" w14:textId="77777777" w:rsidR="000C1E0E" w:rsidRDefault="000C1E0E" w:rsidP="0098752B">
            <w:pPr>
              <w:jc w:val="center"/>
              <w:rPr>
                <w:sz w:val="24"/>
                <w:szCs w:val="24"/>
              </w:rPr>
            </w:pPr>
            <w:r>
              <w:rPr>
                <w:sz w:val="24"/>
                <w:szCs w:val="24"/>
              </w:rPr>
              <w:t>Ваа3</w:t>
            </w:r>
          </w:p>
        </w:tc>
        <w:tc>
          <w:tcPr>
            <w:tcW w:w="1700" w:type="dxa"/>
            <w:tcBorders>
              <w:top w:val="nil"/>
              <w:left w:val="nil"/>
              <w:bottom w:val="single" w:sz="8" w:space="0" w:color="auto"/>
              <w:right w:val="single" w:sz="8" w:space="0" w:color="auto"/>
            </w:tcBorders>
            <w:vAlign w:val="center"/>
            <w:hideMark/>
          </w:tcPr>
          <w:p w14:paraId="75418792" w14:textId="77777777" w:rsidR="000C1E0E" w:rsidRDefault="000C1E0E" w:rsidP="0098752B">
            <w:pPr>
              <w:jc w:val="center"/>
              <w:rPr>
                <w:sz w:val="24"/>
                <w:szCs w:val="24"/>
              </w:rPr>
            </w:pPr>
            <w:r>
              <w:rPr>
                <w:sz w:val="24"/>
                <w:szCs w:val="24"/>
              </w:rPr>
              <w:t>ВВВ-</w:t>
            </w:r>
          </w:p>
        </w:tc>
        <w:tc>
          <w:tcPr>
            <w:tcW w:w="1701" w:type="dxa"/>
            <w:tcBorders>
              <w:top w:val="nil"/>
              <w:left w:val="nil"/>
              <w:bottom w:val="single" w:sz="8" w:space="0" w:color="auto"/>
              <w:right w:val="single" w:sz="4" w:space="0" w:color="auto"/>
            </w:tcBorders>
            <w:noWrap/>
            <w:vAlign w:val="center"/>
            <w:hideMark/>
          </w:tcPr>
          <w:p w14:paraId="6DFAEEDD" w14:textId="77777777" w:rsidR="000C1E0E" w:rsidRDefault="000C1E0E" w:rsidP="0098752B">
            <w:pPr>
              <w:jc w:val="center"/>
              <w:rPr>
                <w:sz w:val="24"/>
                <w:szCs w:val="24"/>
              </w:rPr>
            </w:pPr>
            <w:r>
              <w:rPr>
                <w:sz w:val="24"/>
                <w:szCs w:val="24"/>
              </w:rPr>
              <w:t>ВВВ-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AA73AB" w14:textId="77777777" w:rsidR="000C1E0E" w:rsidRDefault="000C1E0E" w:rsidP="0098752B">
            <w:pPr>
              <w:spacing w:line="240" w:lineRule="auto"/>
              <w:jc w:val="left"/>
              <w:rPr>
                <w:b/>
                <w:bCs/>
                <w:sz w:val="24"/>
                <w:szCs w:val="24"/>
              </w:rPr>
            </w:pPr>
          </w:p>
        </w:tc>
      </w:tr>
      <w:tr w:rsidR="000C1E0E" w14:paraId="332F2083"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17301FC8" w14:textId="77777777" w:rsidR="000C1E0E" w:rsidRDefault="000C1E0E" w:rsidP="0098752B">
            <w:pPr>
              <w:jc w:val="center"/>
              <w:rPr>
                <w:sz w:val="24"/>
                <w:szCs w:val="24"/>
                <w:lang w:val="en-US"/>
              </w:rPr>
            </w:pPr>
            <w:r>
              <w:rPr>
                <w:sz w:val="24"/>
                <w:szCs w:val="24"/>
                <w:lang w:val="en-US"/>
              </w:rPr>
              <w:t>AA+(RU), AA(RU), AA-(RU)</w:t>
            </w:r>
          </w:p>
        </w:tc>
        <w:tc>
          <w:tcPr>
            <w:tcW w:w="1287" w:type="dxa"/>
            <w:tcBorders>
              <w:top w:val="nil"/>
              <w:left w:val="nil"/>
              <w:bottom w:val="single" w:sz="8" w:space="0" w:color="auto"/>
              <w:right w:val="single" w:sz="8" w:space="0" w:color="auto"/>
            </w:tcBorders>
            <w:vAlign w:val="center"/>
            <w:hideMark/>
          </w:tcPr>
          <w:p w14:paraId="2C3FFB1F" w14:textId="77777777" w:rsidR="000C1E0E" w:rsidRDefault="000C1E0E" w:rsidP="0098752B">
            <w:pPr>
              <w:jc w:val="center"/>
              <w:rPr>
                <w:sz w:val="24"/>
                <w:szCs w:val="24"/>
              </w:rPr>
            </w:pPr>
            <w:r>
              <w:rPr>
                <w:sz w:val="24"/>
                <w:szCs w:val="24"/>
              </w:rPr>
              <w:t>ruAA+, ruAA</w:t>
            </w:r>
          </w:p>
        </w:tc>
        <w:tc>
          <w:tcPr>
            <w:tcW w:w="1691" w:type="dxa"/>
            <w:tcBorders>
              <w:top w:val="nil"/>
              <w:left w:val="nil"/>
              <w:bottom w:val="single" w:sz="8" w:space="0" w:color="auto"/>
              <w:right w:val="single" w:sz="8" w:space="0" w:color="auto"/>
            </w:tcBorders>
            <w:noWrap/>
            <w:vAlign w:val="center"/>
            <w:hideMark/>
          </w:tcPr>
          <w:p w14:paraId="2D91A855" w14:textId="77777777" w:rsidR="000C1E0E" w:rsidRDefault="000C1E0E" w:rsidP="0098752B">
            <w:pPr>
              <w:jc w:val="center"/>
              <w:rPr>
                <w:sz w:val="24"/>
                <w:szCs w:val="24"/>
              </w:rPr>
            </w:pPr>
            <w:r>
              <w:rPr>
                <w:sz w:val="24"/>
                <w:szCs w:val="24"/>
              </w:rPr>
              <w:t>Ва1</w:t>
            </w:r>
          </w:p>
        </w:tc>
        <w:tc>
          <w:tcPr>
            <w:tcW w:w="1700" w:type="dxa"/>
            <w:tcBorders>
              <w:top w:val="nil"/>
              <w:left w:val="nil"/>
              <w:bottom w:val="single" w:sz="8" w:space="0" w:color="auto"/>
              <w:right w:val="single" w:sz="8" w:space="0" w:color="auto"/>
            </w:tcBorders>
            <w:vAlign w:val="center"/>
            <w:hideMark/>
          </w:tcPr>
          <w:p w14:paraId="47F39713" w14:textId="77777777" w:rsidR="000C1E0E" w:rsidRDefault="000C1E0E" w:rsidP="0098752B">
            <w:pPr>
              <w:jc w:val="center"/>
              <w:rPr>
                <w:sz w:val="24"/>
                <w:szCs w:val="24"/>
              </w:rPr>
            </w:pPr>
            <w:r>
              <w:rPr>
                <w:sz w:val="24"/>
                <w:szCs w:val="24"/>
              </w:rPr>
              <w:t>ВВ+</w:t>
            </w:r>
          </w:p>
        </w:tc>
        <w:tc>
          <w:tcPr>
            <w:tcW w:w="1701" w:type="dxa"/>
            <w:tcBorders>
              <w:top w:val="nil"/>
              <w:left w:val="nil"/>
              <w:bottom w:val="single" w:sz="8" w:space="0" w:color="auto"/>
              <w:right w:val="single" w:sz="8" w:space="0" w:color="auto"/>
            </w:tcBorders>
            <w:noWrap/>
            <w:vAlign w:val="center"/>
            <w:hideMark/>
          </w:tcPr>
          <w:p w14:paraId="66F797B4" w14:textId="77777777" w:rsidR="000C1E0E" w:rsidRDefault="000C1E0E" w:rsidP="0098752B">
            <w:pPr>
              <w:jc w:val="center"/>
              <w:rPr>
                <w:sz w:val="24"/>
                <w:szCs w:val="24"/>
              </w:rPr>
            </w:pPr>
            <w:r>
              <w:rPr>
                <w:sz w:val="24"/>
                <w:szCs w:val="24"/>
              </w:rPr>
              <w:t>ВВ+</w:t>
            </w:r>
          </w:p>
        </w:tc>
        <w:tc>
          <w:tcPr>
            <w:tcW w:w="1419" w:type="dxa"/>
            <w:vMerge w:val="restart"/>
            <w:tcBorders>
              <w:top w:val="single" w:sz="4" w:space="0" w:color="auto"/>
              <w:left w:val="single" w:sz="8" w:space="0" w:color="auto"/>
              <w:bottom w:val="single" w:sz="8" w:space="0" w:color="000000"/>
              <w:right w:val="single" w:sz="8" w:space="0" w:color="auto"/>
            </w:tcBorders>
            <w:vAlign w:val="center"/>
            <w:hideMark/>
          </w:tcPr>
          <w:p w14:paraId="4383D27F" w14:textId="77777777" w:rsidR="000C1E0E" w:rsidRDefault="000C1E0E" w:rsidP="0098752B">
            <w:pPr>
              <w:jc w:val="center"/>
              <w:rPr>
                <w:b/>
                <w:bCs/>
                <w:sz w:val="24"/>
                <w:szCs w:val="24"/>
              </w:rPr>
            </w:pPr>
            <w:r>
              <w:rPr>
                <w:b/>
                <w:bCs/>
                <w:sz w:val="24"/>
                <w:szCs w:val="24"/>
              </w:rPr>
              <w:t>Рейтинговая группа II</w:t>
            </w:r>
          </w:p>
        </w:tc>
      </w:tr>
      <w:tr w:rsidR="000C1E0E" w14:paraId="460295AE"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31FF1B48" w14:textId="77777777" w:rsidR="000C1E0E" w:rsidRDefault="000C1E0E" w:rsidP="0098752B">
            <w:pPr>
              <w:jc w:val="center"/>
              <w:rPr>
                <w:sz w:val="24"/>
                <w:szCs w:val="24"/>
              </w:rPr>
            </w:pPr>
            <w:r>
              <w:rPr>
                <w:sz w:val="24"/>
                <w:szCs w:val="24"/>
              </w:rPr>
              <w:t>A+(RU), A(RU)</w:t>
            </w:r>
          </w:p>
        </w:tc>
        <w:tc>
          <w:tcPr>
            <w:tcW w:w="1287" w:type="dxa"/>
            <w:tcBorders>
              <w:top w:val="nil"/>
              <w:left w:val="nil"/>
              <w:bottom w:val="single" w:sz="8" w:space="0" w:color="auto"/>
              <w:right w:val="single" w:sz="8" w:space="0" w:color="auto"/>
            </w:tcBorders>
            <w:vAlign w:val="center"/>
            <w:hideMark/>
          </w:tcPr>
          <w:p w14:paraId="22C65CE5" w14:textId="77777777" w:rsidR="000C1E0E" w:rsidRDefault="000C1E0E" w:rsidP="0098752B">
            <w:pPr>
              <w:jc w:val="center"/>
              <w:rPr>
                <w:sz w:val="24"/>
                <w:szCs w:val="24"/>
              </w:rPr>
            </w:pPr>
            <w:r>
              <w:rPr>
                <w:sz w:val="24"/>
                <w:szCs w:val="24"/>
              </w:rPr>
              <w:t>ruAA-, ruA+</w:t>
            </w:r>
          </w:p>
        </w:tc>
        <w:tc>
          <w:tcPr>
            <w:tcW w:w="1691" w:type="dxa"/>
            <w:tcBorders>
              <w:top w:val="nil"/>
              <w:left w:val="nil"/>
              <w:bottom w:val="single" w:sz="8" w:space="0" w:color="auto"/>
              <w:right w:val="single" w:sz="8" w:space="0" w:color="auto"/>
            </w:tcBorders>
            <w:noWrap/>
            <w:vAlign w:val="center"/>
            <w:hideMark/>
          </w:tcPr>
          <w:p w14:paraId="2EE67876" w14:textId="77777777" w:rsidR="000C1E0E" w:rsidRDefault="000C1E0E" w:rsidP="0098752B">
            <w:pPr>
              <w:jc w:val="center"/>
              <w:rPr>
                <w:sz w:val="24"/>
                <w:szCs w:val="24"/>
              </w:rPr>
            </w:pPr>
            <w:r>
              <w:rPr>
                <w:sz w:val="24"/>
                <w:szCs w:val="24"/>
              </w:rPr>
              <w:t>Ва2</w:t>
            </w:r>
          </w:p>
        </w:tc>
        <w:tc>
          <w:tcPr>
            <w:tcW w:w="1700" w:type="dxa"/>
            <w:tcBorders>
              <w:top w:val="nil"/>
              <w:left w:val="nil"/>
              <w:bottom w:val="single" w:sz="8" w:space="0" w:color="auto"/>
              <w:right w:val="single" w:sz="8" w:space="0" w:color="auto"/>
            </w:tcBorders>
            <w:vAlign w:val="center"/>
            <w:hideMark/>
          </w:tcPr>
          <w:p w14:paraId="5AA81457" w14:textId="77777777" w:rsidR="000C1E0E" w:rsidRDefault="000C1E0E" w:rsidP="0098752B">
            <w:pPr>
              <w:jc w:val="center"/>
              <w:rPr>
                <w:sz w:val="24"/>
                <w:szCs w:val="24"/>
              </w:rPr>
            </w:pPr>
            <w:r>
              <w:rPr>
                <w:sz w:val="24"/>
                <w:szCs w:val="24"/>
              </w:rPr>
              <w:t>ВВ</w:t>
            </w:r>
          </w:p>
        </w:tc>
        <w:tc>
          <w:tcPr>
            <w:tcW w:w="1701" w:type="dxa"/>
            <w:tcBorders>
              <w:top w:val="nil"/>
              <w:left w:val="nil"/>
              <w:bottom w:val="single" w:sz="8" w:space="0" w:color="auto"/>
              <w:right w:val="single" w:sz="8" w:space="0" w:color="auto"/>
            </w:tcBorders>
            <w:noWrap/>
            <w:vAlign w:val="center"/>
            <w:hideMark/>
          </w:tcPr>
          <w:p w14:paraId="7D2146C3" w14:textId="77777777" w:rsidR="000C1E0E" w:rsidRDefault="000C1E0E" w:rsidP="0098752B">
            <w:pPr>
              <w:jc w:val="center"/>
              <w:rPr>
                <w:sz w:val="24"/>
                <w:szCs w:val="24"/>
              </w:rPr>
            </w:pPr>
            <w:r>
              <w:rPr>
                <w:sz w:val="24"/>
                <w:szCs w:val="24"/>
              </w:rPr>
              <w:t>ВВ</w:t>
            </w:r>
          </w:p>
        </w:tc>
        <w:tc>
          <w:tcPr>
            <w:tcW w:w="0" w:type="auto"/>
            <w:vMerge/>
            <w:tcBorders>
              <w:top w:val="single" w:sz="4" w:space="0" w:color="auto"/>
              <w:left w:val="single" w:sz="8" w:space="0" w:color="auto"/>
              <w:bottom w:val="single" w:sz="8" w:space="0" w:color="000000"/>
              <w:right w:val="single" w:sz="8" w:space="0" w:color="auto"/>
            </w:tcBorders>
            <w:vAlign w:val="center"/>
            <w:hideMark/>
          </w:tcPr>
          <w:p w14:paraId="00A49C08" w14:textId="77777777" w:rsidR="000C1E0E" w:rsidRDefault="000C1E0E" w:rsidP="0098752B">
            <w:pPr>
              <w:spacing w:line="240" w:lineRule="auto"/>
              <w:jc w:val="left"/>
              <w:rPr>
                <w:b/>
                <w:bCs/>
                <w:sz w:val="24"/>
                <w:szCs w:val="24"/>
              </w:rPr>
            </w:pPr>
          </w:p>
        </w:tc>
      </w:tr>
      <w:tr w:rsidR="000C1E0E" w14:paraId="722222BE"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6C350595" w14:textId="77777777" w:rsidR="000C1E0E" w:rsidRDefault="000C1E0E" w:rsidP="0098752B">
            <w:pPr>
              <w:jc w:val="center"/>
              <w:rPr>
                <w:sz w:val="24"/>
                <w:szCs w:val="24"/>
              </w:rPr>
            </w:pPr>
            <w:r>
              <w:rPr>
                <w:sz w:val="24"/>
                <w:szCs w:val="24"/>
              </w:rPr>
              <w:t>A-(RU), BBB+(RU)</w:t>
            </w:r>
          </w:p>
        </w:tc>
        <w:tc>
          <w:tcPr>
            <w:tcW w:w="1287" w:type="dxa"/>
            <w:tcBorders>
              <w:top w:val="nil"/>
              <w:left w:val="nil"/>
              <w:bottom w:val="single" w:sz="8" w:space="0" w:color="auto"/>
              <w:right w:val="single" w:sz="8" w:space="0" w:color="auto"/>
            </w:tcBorders>
            <w:vAlign w:val="center"/>
            <w:hideMark/>
          </w:tcPr>
          <w:p w14:paraId="49241479" w14:textId="77777777" w:rsidR="000C1E0E" w:rsidRDefault="000C1E0E" w:rsidP="0098752B">
            <w:pPr>
              <w:jc w:val="center"/>
              <w:rPr>
                <w:sz w:val="24"/>
                <w:szCs w:val="24"/>
              </w:rPr>
            </w:pPr>
            <w:r>
              <w:rPr>
                <w:sz w:val="24"/>
                <w:szCs w:val="24"/>
              </w:rPr>
              <w:t>ruA, ruA-, ruBBB+</w:t>
            </w:r>
          </w:p>
        </w:tc>
        <w:tc>
          <w:tcPr>
            <w:tcW w:w="1691" w:type="dxa"/>
            <w:tcBorders>
              <w:top w:val="nil"/>
              <w:left w:val="nil"/>
              <w:bottom w:val="single" w:sz="8" w:space="0" w:color="auto"/>
              <w:right w:val="single" w:sz="8" w:space="0" w:color="auto"/>
            </w:tcBorders>
            <w:vAlign w:val="center"/>
            <w:hideMark/>
          </w:tcPr>
          <w:p w14:paraId="08323CA7" w14:textId="77777777" w:rsidR="000C1E0E" w:rsidRDefault="000C1E0E" w:rsidP="0098752B">
            <w:pPr>
              <w:jc w:val="center"/>
              <w:rPr>
                <w:sz w:val="24"/>
                <w:szCs w:val="24"/>
              </w:rPr>
            </w:pPr>
            <w:r>
              <w:rPr>
                <w:sz w:val="24"/>
                <w:szCs w:val="24"/>
              </w:rPr>
              <w:t>Ва3</w:t>
            </w:r>
          </w:p>
        </w:tc>
        <w:tc>
          <w:tcPr>
            <w:tcW w:w="1700" w:type="dxa"/>
            <w:tcBorders>
              <w:top w:val="nil"/>
              <w:left w:val="nil"/>
              <w:bottom w:val="single" w:sz="8" w:space="0" w:color="auto"/>
              <w:right w:val="single" w:sz="8" w:space="0" w:color="auto"/>
            </w:tcBorders>
            <w:vAlign w:val="center"/>
            <w:hideMark/>
          </w:tcPr>
          <w:p w14:paraId="0A4D8C37" w14:textId="77777777" w:rsidR="000C1E0E" w:rsidRDefault="000C1E0E" w:rsidP="0098752B">
            <w:pPr>
              <w:jc w:val="center"/>
              <w:rPr>
                <w:sz w:val="24"/>
                <w:szCs w:val="24"/>
              </w:rPr>
            </w:pPr>
            <w:r>
              <w:rPr>
                <w:sz w:val="24"/>
                <w:szCs w:val="24"/>
              </w:rPr>
              <w:t>ВВ-</w:t>
            </w:r>
          </w:p>
        </w:tc>
        <w:tc>
          <w:tcPr>
            <w:tcW w:w="1701" w:type="dxa"/>
            <w:tcBorders>
              <w:top w:val="nil"/>
              <w:left w:val="nil"/>
              <w:bottom w:val="single" w:sz="8" w:space="0" w:color="auto"/>
              <w:right w:val="single" w:sz="8" w:space="0" w:color="auto"/>
            </w:tcBorders>
            <w:vAlign w:val="center"/>
            <w:hideMark/>
          </w:tcPr>
          <w:p w14:paraId="5C08E0A3" w14:textId="77777777" w:rsidR="000C1E0E" w:rsidRDefault="000C1E0E" w:rsidP="0098752B">
            <w:pPr>
              <w:jc w:val="center"/>
              <w:rPr>
                <w:sz w:val="24"/>
                <w:szCs w:val="24"/>
              </w:rPr>
            </w:pPr>
            <w:r>
              <w:rPr>
                <w:sz w:val="24"/>
                <w:szCs w:val="24"/>
              </w:rPr>
              <w:t>ВВ-</w:t>
            </w:r>
          </w:p>
        </w:tc>
        <w:tc>
          <w:tcPr>
            <w:tcW w:w="0" w:type="auto"/>
            <w:vMerge/>
            <w:tcBorders>
              <w:top w:val="single" w:sz="4" w:space="0" w:color="auto"/>
              <w:left w:val="single" w:sz="8" w:space="0" w:color="auto"/>
              <w:bottom w:val="single" w:sz="8" w:space="0" w:color="000000"/>
              <w:right w:val="single" w:sz="8" w:space="0" w:color="auto"/>
            </w:tcBorders>
            <w:vAlign w:val="center"/>
            <w:hideMark/>
          </w:tcPr>
          <w:p w14:paraId="5B9EB211" w14:textId="77777777" w:rsidR="000C1E0E" w:rsidRDefault="000C1E0E" w:rsidP="0098752B">
            <w:pPr>
              <w:spacing w:line="240" w:lineRule="auto"/>
              <w:jc w:val="left"/>
              <w:rPr>
                <w:b/>
                <w:bCs/>
                <w:sz w:val="24"/>
                <w:szCs w:val="24"/>
              </w:rPr>
            </w:pPr>
          </w:p>
        </w:tc>
      </w:tr>
      <w:tr w:rsidR="000C1E0E" w14:paraId="2CFB9883"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229BDACC" w14:textId="77777777" w:rsidR="000C1E0E" w:rsidRDefault="000C1E0E" w:rsidP="0098752B">
            <w:pPr>
              <w:jc w:val="center"/>
              <w:rPr>
                <w:sz w:val="24"/>
                <w:szCs w:val="24"/>
              </w:rPr>
            </w:pPr>
            <w:r>
              <w:rPr>
                <w:sz w:val="24"/>
                <w:szCs w:val="24"/>
              </w:rPr>
              <w:t>BBB(RU), BBB-(RU)</w:t>
            </w:r>
          </w:p>
        </w:tc>
        <w:tc>
          <w:tcPr>
            <w:tcW w:w="1287" w:type="dxa"/>
            <w:tcBorders>
              <w:top w:val="nil"/>
              <w:left w:val="nil"/>
              <w:bottom w:val="single" w:sz="8" w:space="0" w:color="auto"/>
              <w:right w:val="single" w:sz="8" w:space="0" w:color="auto"/>
            </w:tcBorders>
            <w:vAlign w:val="center"/>
            <w:hideMark/>
          </w:tcPr>
          <w:p w14:paraId="50257CAE" w14:textId="77777777" w:rsidR="000C1E0E" w:rsidRDefault="000C1E0E" w:rsidP="0098752B">
            <w:pPr>
              <w:jc w:val="center"/>
              <w:rPr>
                <w:sz w:val="24"/>
                <w:szCs w:val="24"/>
              </w:rPr>
            </w:pPr>
            <w:r>
              <w:rPr>
                <w:sz w:val="24"/>
                <w:szCs w:val="24"/>
              </w:rPr>
              <w:t>ruBBB</w:t>
            </w:r>
          </w:p>
        </w:tc>
        <w:tc>
          <w:tcPr>
            <w:tcW w:w="1691" w:type="dxa"/>
            <w:tcBorders>
              <w:top w:val="nil"/>
              <w:left w:val="nil"/>
              <w:bottom w:val="single" w:sz="8" w:space="0" w:color="auto"/>
              <w:right w:val="single" w:sz="8" w:space="0" w:color="auto"/>
            </w:tcBorders>
            <w:vAlign w:val="center"/>
            <w:hideMark/>
          </w:tcPr>
          <w:p w14:paraId="492CFE5F" w14:textId="77777777" w:rsidR="000C1E0E" w:rsidRDefault="000C1E0E" w:rsidP="0098752B">
            <w:pPr>
              <w:jc w:val="center"/>
              <w:rPr>
                <w:sz w:val="24"/>
                <w:szCs w:val="24"/>
              </w:rPr>
            </w:pPr>
            <w:r>
              <w:rPr>
                <w:sz w:val="24"/>
                <w:szCs w:val="24"/>
              </w:rPr>
              <w:t>В1</w:t>
            </w:r>
          </w:p>
        </w:tc>
        <w:tc>
          <w:tcPr>
            <w:tcW w:w="1700" w:type="dxa"/>
            <w:tcBorders>
              <w:top w:val="nil"/>
              <w:left w:val="nil"/>
              <w:bottom w:val="single" w:sz="8" w:space="0" w:color="auto"/>
              <w:right w:val="single" w:sz="8" w:space="0" w:color="auto"/>
            </w:tcBorders>
            <w:vAlign w:val="center"/>
            <w:hideMark/>
          </w:tcPr>
          <w:p w14:paraId="5E275036" w14:textId="77777777" w:rsidR="000C1E0E" w:rsidRDefault="000C1E0E" w:rsidP="0098752B">
            <w:pPr>
              <w:jc w:val="center"/>
              <w:rPr>
                <w:sz w:val="24"/>
                <w:szCs w:val="24"/>
              </w:rPr>
            </w:pPr>
            <w:r>
              <w:rPr>
                <w:sz w:val="24"/>
                <w:szCs w:val="24"/>
              </w:rPr>
              <w:t>В+</w:t>
            </w:r>
          </w:p>
        </w:tc>
        <w:tc>
          <w:tcPr>
            <w:tcW w:w="1701" w:type="dxa"/>
            <w:tcBorders>
              <w:top w:val="nil"/>
              <w:left w:val="nil"/>
              <w:bottom w:val="single" w:sz="8" w:space="0" w:color="auto"/>
              <w:right w:val="single" w:sz="8" w:space="0" w:color="auto"/>
            </w:tcBorders>
            <w:vAlign w:val="center"/>
            <w:hideMark/>
          </w:tcPr>
          <w:p w14:paraId="253D0F52" w14:textId="77777777" w:rsidR="000C1E0E" w:rsidRDefault="000C1E0E" w:rsidP="0098752B">
            <w:pPr>
              <w:jc w:val="center"/>
              <w:rPr>
                <w:sz w:val="24"/>
                <w:szCs w:val="24"/>
              </w:rPr>
            </w:pPr>
            <w:r>
              <w:rPr>
                <w:sz w:val="24"/>
                <w:szCs w:val="24"/>
              </w:rPr>
              <w:t>В+</w:t>
            </w:r>
          </w:p>
        </w:tc>
        <w:tc>
          <w:tcPr>
            <w:tcW w:w="1419" w:type="dxa"/>
            <w:vMerge w:val="restart"/>
            <w:tcBorders>
              <w:top w:val="nil"/>
              <w:left w:val="single" w:sz="8" w:space="0" w:color="auto"/>
              <w:bottom w:val="single" w:sz="8" w:space="0" w:color="000000"/>
              <w:right w:val="single" w:sz="8" w:space="0" w:color="auto"/>
            </w:tcBorders>
            <w:vAlign w:val="center"/>
            <w:hideMark/>
          </w:tcPr>
          <w:p w14:paraId="32817F40" w14:textId="77777777" w:rsidR="000C1E0E" w:rsidRDefault="000C1E0E" w:rsidP="0098752B">
            <w:pPr>
              <w:jc w:val="center"/>
              <w:rPr>
                <w:b/>
                <w:bCs/>
                <w:sz w:val="24"/>
                <w:szCs w:val="24"/>
                <w:lang w:val="en-US"/>
              </w:rPr>
            </w:pPr>
            <w:r>
              <w:rPr>
                <w:b/>
                <w:bCs/>
                <w:sz w:val="24"/>
                <w:szCs w:val="24"/>
              </w:rPr>
              <w:t>Рейтинговая группа II</w:t>
            </w:r>
            <w:r>
              <w:rPr>
                <w:b/>
                <w:bCs/>
                <w:sz w:val="24"/>
                <w:szCs w:val="24"/>
                <w:lang w:val="en-US"/>
              </w:rPr>
              <w:t>I</w:t>
            </w:r>
          </w:p>
        </w:tc>
      </w:tr>
      <w:tr w:rsidR="000C1E0E" w14:paraId="346346C2"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4B16A066" w14:textId="77777777" w:rsidR="000C1E0E" w:rsidRDefault="000C1E0E" w:rsidP="0098752B">
            <w:pPr>
              <w:jc w:val="center"/>
              <w:rPr>
                <w:sz w:val="24"/>
                <w:szCs w:val="24"/>
              </w:rPr>
            </w:pPr>
            <w:r>
              <w:rPr>
                <w:sz w:val="24"/>
                <w:szCs w:val="24"/>
              </w:rPr>
              <w:t>BB+(RU)</w:t>
            </w:r>
          </w:p>
        </w:tc>
        <w:tc>
          <w:tcPr>
            <w:tcW w:w="1287" w:type="dxa"/>
            <w:tcBorders>
              <w:top w:val="nil"/>
              <w:left w:val="nil"/>
              <w:bottom w:val="single" w:sz="8" w:space="0" w:color="auto"/>
              <w:right w:val="single" w:sz="8" w:space="0" w:color="auto"/>
            </w:tcBorders>
            <w:vAlign w:val="center"/>
            <w:hideMark/>
          </w:tcPr>
          <w:p w14:paraId="3E14357B" w14:textId="77777777" w:rsidR="000C1E0E" w:rsidRDefault="000C1E0E" w:rsidP="0098752B">
            <w:pPr>
              <w:jc w:val="center"/>
              <w:rPr>
                <w:sz w:val="24"/>
                <w:szCs w:val="24"/>
              </w:rPr>
            </w:pPr>
            <w:r>
              <w:rPr>
                <w:sz w:val="24"/>
                <w:szCs w:val="24"/>
              </w:rPr>
              <w:t>ruBBB-, ruBB+</w:t>
            </w:r>
          </w:p>
        </w:tc>
        <w:tc>
          <w:tcPr>
            <w:tcW w:w="1691" w:type="dxa"/>
            <w:tcBorders>
              <w:top w:val="nil"/>
              <w:left w:val="nil"/>
              <w:bottom w:val="single" w:sz="8" w:space="0" w:color="auto"/>
              <w:right w:val="single" w:sz="8" w:space="0" w:color="auto"/>
            </w:tcBorders>
            <w:vAlign w:val="center"/>
            <w:hideMark/>
          </w:tcPr>
          <w:p w14:paraId="28549404" w14:textId="77777777" w:rsidR="000C1E0E" w:rsidRDefault="000C1E0E" w:rsidP="0098752B">
            <w:pPr>
              <w:jc w:val="center"/>
              <w:rPr>
                <w:sz w:val="24"/>
                <w:szCs w:val="24"/>
              </w:rPr>
            </w:pPr>
            <w:r>
              <w:rPr>
                <w:sz w:val="24"/>
                <w:szCs w:val="24"/>
              </w:rPr>
              <w:t>В2</w:t>
            </w:r>
          </w:p>
        </w:tc>
        <w:tc>
          <w:tcPr>
            <w:tcW w:w="1700" w:type="dxa"/>
            <w:tcBorders>
              <w:top w:val="nil"/>
              <w:left w:val="nil"/>
              <w:bottom w:val="single" w:sz="8" w:space="0" w:color="auto"/>
              <w:right w:val="single" w:sz="8" w:space="0" w:color="auto"/>
            </w:tcBorders>
            <w:vAlign w:val="center"/>
            <w:hideMark/>
          </w:tcPr>
          <w:p w14:paraId="4FBF193F" w14:textId="77777777" w:rsidR="000C1E0E" w:rsidRDefault="000C1E0E" w:rsidP="0098752B">
            <w:pPr>
              <w:jc w:val="center"/>
              <w:rPr>
                <w:sz w:val="24"/>
                <w:szCs w:val="24"/>
              </w:rPr>
            </w:pPr>
            <w:r>
              <w:rPr>
                <w:sz w:val="24"/>
                <w:szCs w:val="24"/>
              </w:rPr>
              <w:t>В</w:t>
            </w:r>
          </w:p>
        </w:tc>
        <w:tc>
          <w:tcPr>
            <w:tcW w:w="1701" w:type="dxa"/>
            <w:tcBorders>
              <w:top w:val="nil"/>
              <w:left w:val="nil"/>
              <w:bottom w:val="single" w:sz="8" w:space="0" w:color="auto"/>
              <w:right w:val="single" w:sz="8" w:space="0" w:color="auto"/>
            </w:tcBorders>
            <w:vAlign w:val="center"/>
            <w:hideMark/>
          </w:tcPr>
          <w:p w14:paraId="71385DC6" w14:textId="77777777" w:rsidR="000C1E0E" w:rsidRDefault="000C1E0E" w:rsidP="0098752B">
            <w:pPr>
              <w:jc w:val="center"/>
              <w:rPr>
                <w:sz w:val="24"/>
                <w:szCs w:val="24"/>
              </w:rPr>
            </w:pPr>
            <w:r>
              <w:rPr>
                <w:sz w:val="24"/>
                <w:szCs w:val="24"/>
              </w:rPr>
              <w:t>В</w:t>
            </w:r>
          </w:p>
        </w:tc>
        <w:tc>
          <w:tcPr>
            <w:tcW w:w="0" w:type="auto"/>
            <w:vMerge/>
            <w:tcBorders>
              <w:top w:val="nil"/>
              <w:left w:val="single" w:sz="8" w:space="0" w:color="auto"/>
              <w:bottom w:val="single" w:sz="8" w:space="0" w:color="000000"/>
              <w:right w:val="single" w:sz="8" w:space="0" w:color="auto"/>
            </w:tcBorders>
            <w:vAlign w:val="center"/>
            <w:hideMark/>
          </w:tcPr>
          <w:p w14:paraId="1A72779B" w14:textId="77777777" w:rsidR="000C1E0E" w:rsidRDefault="000C1E0E" w:rsidP="0098752B">
            <w:pPr>
              <w:spacing w:line="240" w:lineRule="auto"/>
              <w:jc w:val="left"/>
              <w:rPr>
                <w:b/>
                <w:bCs/>
                <w:sz w:val="24"/>
                <w:szCs w:val="24"/>
                <w:lang w:val="en-US"/>
              </w:rPr>
            </w:pPr>
          </w:p>
        </w:tc>
      </w:tr>
      <w:tr w:rsidR="000C1E0E" w14:paraId="1DA6BE23"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5F9E44F6" w14:textId="77777777" w:rsidR="000C1E0E" w:rsidRDefault="000C1E0E" w:rsidP="0098752B">
            <w:pPr>
              <w:jc w:val="center"/>
              <w:rPr>
                <w:sz w:val="24"/>
                <w:szCs w:val="24"/>
              </w:rPr>
            </w:pPr>
            <w:r>
              <w:rPr>
                <w:sz w:val="24"/>
                <w:szCs w:val="24"/>
              </w:rPr>
              <w:t>BB(RU)</w:t>
            </w:r>
          </w:p>
        </w:tc>
        <w:tc>
          <w:tcPr>
            <w:tcW w:w="1287" w:type="dxa"/>
            <w:tcBorders>
              <w:top w:val="nil"/>
              <w:left w:val="nil"/>
              <w:bottom w:val="single" w:sz="8" w:space="0" w:color="auto"/>
              <w:right w:val="single" w:sz="8" w:space="0" w:color="auto"/>
            </w:tcBorders>
            <w:vAlign w:val="center"/>
            <w:hideMark/>
          </w:tcPr>
          <w:p w14:paraId="55C86BF4" w14:textId="77777777" w:rsidR="000C1E0E" w:rsidRDefault="000C1E0E" w:rsidP="0098752B">
            <w:pPr>
              <w:jc w:val="center"/>
              <w:rPr>
                <w:sz w:val="24"/>
                <w:szCs w:val="24"/>
              </w:rPr>
            </w:pPr>
            <w:r>
              <w:rPr>
                <w:sz w:val="24"/>
                <w:szCs w:val="24"/>
              </w:rPr>
              <w:t>ruBB</w:t>
            </w:r>
          </w:p>
        </w:tc>
        <w:tc>
          <w:tcPr>
            <w:tcW w:w="1691" w:type="dxa"/>
            <w:tcBorders>
              <w:top w:val="nil"/>
              <w:left w:val="nil"/>
              <w:bottom w:val="single" w:sz="8" w:space="0" w:color="auto"/>
              <w:right w:val="single" w:sz="8" w:space="0" w:color="auto"/>
            </w:tcBorders>
            <w:vAlign w:val="center"/>
            <w:hideMark/>
          </w:tcPr>
          <w:p w14:paraId="04E260A3" w14:textId="77777777" w:rsidR="000C1E0E" w:rsidRDefault="000C1E0E" w:rsidP="0098752B">
            <w:pPr>
              <w:jc w:val="center"/>
              <w:rPr>
                <w:sz w:val="24"/>
                <w:szCs w:val="24"/>
              </w:rPr>
            </w:pPr>
            <w:r>
              <w:rPr>
                <w:sz w:val="24"/>
                <w:szCs w:val="24"/>
              </w:rPr>
              <w:t>B3</w:t>
            </w:r>
          </w:p>
        </w:tc>
        <w:tc>
          <w:tcPr>
            <w:tcW w:w="1700" w:type="dxa"/>
            <w:tcBorders>
              <w:top w:val="nil"/>
              <w:left w:val="nil"/>
              <w:bottom w:val="single" w:sz="8" w:space="0" w:color="auto"/>
              <w:right w:val="single" w:sz="8" w:space="0" w:color="auto"/>
            </w:tcBorders>
            <w:vAlign w:val="center"/>
            <w:hideMark/>
          </w:tcPr>
          <w:p w14:paraId="7BA1FD64" w14:textId="77777777" w:rsidR="000C1E0E" w:rsidRDefault="000C1E0E" w:rsidP="0098752B">
            <w:pPr>
              <w:jc w:val="center"/>
              <w:rPr>
                <w:sz w:val="24"/>
                <w:szCs w:val="24"/>
              </w:rPr>
            </w:pPr>
            <w:r>
              <w:rPr>
                <w:sz w:val="24"/>
                <w:szCs w:val="24"/>
              </w:rPr>
              <w:t>B-</w:t>
            </w:r>
          </w:p>
        </w:tc>
        <w:tc>
          <w:tcPr>
            <w:tcW w:w="1701" w:type="dxa"/>
            <w:tcBorders>
              <w:top w:val="nil"/>
              <w:left w:val="nil"/>
              <w:bottom w:val="single" w:sz="8" w:space="0" w:color="auto"/>
              <w:right w:val="single" w:sz="8" w:space="0" w:color="auto"/>
            </w:tcBorders>
            <w:vAlign w:val="center"/>
            <w:hideMark/>
          </w:tcPr>
          <w:p w14:paraId="1082DDAB" w14:textId="77777777" w:rsidR="000C1E0E" w:rsidRDefault="000C1E0E" w:rsidP="0098752B">
            <w:pPr>
              <w:jc w:val="center"/>
              <w:rPr>
                <w:sz w:val="24"/>
                <w:szCs w:val="24"/>
              </w:rPr>
            </w:pPr>
            <w:r>
              <w:rPr>
                <w:sz w:val="24"/>
                <w:szCs w:val="24"/>
              </w:rPr>
              <w:t>B-</w:t>
            </w:r>
          </w:p>
        </w:tc>
        <w:tc>
          <w:tcPr>
            <w:tcW w:w="0" w:type="auto"/>
            <w:vMerge/>
            <w:tcBorders>
              <w:top w:val="nil"/>
              <w:left w:val="single" w:sz="8" w:space="0" w:color="auto"/>
              <w:bottom w:val="single" w:sz="8" w:space="0" w:color="000000"/>
              <w:right w:val="single" w:sz="8" w:space="0" w:color="auto"/>
            </w:tcBorders>
            <w:vAlign w:val="center"/>
            <w:hideMark/>
          </w:tcPr>
          <w:p w14:paraId="077E91A9" w14:textId="77777777" w:rsidR="000C1E0E" w:rsidRDefault="000C1E0E" w:rsidP="0098752B">
            <w:pPr>
              <w:spacing w:line="240" w:lineRule="auto"/>
              <w:jc w:val="left"/>
              <w:rPr>
                <w:b/>
                <w:bCs/>
                <w:sz w:val="24"/>
                <w:szCs w:val="24"/>
                <w:lang w:val="en-US"/>
              </w:rPr>
            </w:pPr>
          </w:p>
        </w:tc>
      </w:tr>
      <w:tr w:rsidR="000C1E0E" w14:paraId="1F98E2BD" w14:textId="77777777" w:rsidTr="0098752B">
        <w:trPr>
          <w:trHeight w:val="345"/>
          <w:jc w:val="center"/>
        </w:trPr>
        <w:tc>
          <w:tcPr>
            <w:tcW w:w="8212" w:type="dxa"/>
            <w:gridSpan w:val="5"/>
            <w:tcBorders>
              <w:top w:val="single" w:sz="8" w:space="0" w:color="auto"/>
              <w:left w:val="single" w:sz="8" w:space="0" w:color="auto"/>
              <w:bottom w:val="single" w:sz="8" w:space="0" w:color="auto"/>
              <w:right w:val="single" w:sz="8" w:space="0" w:color="000000"/>
            </w:tcBorders>
            <w:vAlign w:val="center"/>
            <w:hideMark/>
          </w:tcPr>
          <w:p w14:paraId="20D911F8" w14:textId="77777777" w:rsidR="000C1E0E" w:rsidRDefault="000C1E0E" w:rsidP="0098752B">
            <w:pPr>
              <w:jc w:val="center"/>
              <w:rPr>
                <w:sz w:val="24"/>
                <w:szCs w:val="24"/>
              </w:rPr>
            </w:pPr>
            <w:r>
              <w:rPr>
                <w:sz w:val="24"/>
                <w:szCs w:val="24"/>
              </w:rPr>
              <w:t>Более низкий рейтинг / рейтинг отсутствует</w:t>
            </w:r>
          </w:p>
        </w:tc>
        <w:tc>
          <w:tcPr>
            <w:tcW w:w="1419" w:type="dxa"/>
            <w:tcBorders>
              <w:top w:val="nil"/>
              <w:left w:val="nil"/>
              <w:bottom w:val="single" w:sz="8" w:space="0" w:color="auto"/>
              <w:right w:val="single" w:sz="8" w:space="0" w:color="auto"/>
            </w:tcBorders>
            <w:noWrap/>
            <w:vAlign w:val="center"/>
            <w:hideMark/>
          </w:tcPr>
          <w:p w14:paraId="429314FC" w14:textId="77777777" w:rsidR="000C1E0E" w:rsidRDefault="000C1E0E" w:rsidP="0098752B">
            <w:pPr>
              <w:jc w:val="center"/>
              <w:rPr>
                <w:b/>
                <w:bCs/>
                <w:sz w:val="24"/>
                <w:szCs w:val="24"/>
                <w:lang w:val="en-US"/>
              </w:rPr>
            </w:pPr>
            <w:r>
              <w:rPr>
                <w:b/>
                <w:bCs/>
                <w:sz w:val="24"/>
                <w:szCs w:val="24"/>
              </w:rPr>
              <w:t>Рейтинговая группа I</w:t>
            </w:r>
            <w:r>
              <w:rPr>
                <w:b/>
                <w:bCs/>
                <w:sz w:val="24"/>
                <w:szCs w:val="24"/>
                <w:lang w:val="en-US"/>
              </w:rPr>
              <w:t>V</w:t>
            </w:r>
          </w:p>
        </w:tc>
      </w:tr>
    </w:tbl>
    <w:p w14:paraId="473F224F" w14:textId="77777777" w:rsidR="000C1E0E" w:rsidRDefault="000C1E0E" w:rsidP="000C1E0E">
      <w:pPr>
        <w:ind w:firstLine="708"/>
        <w:rPr>
          <w:sz w:val="24"/>
          <w:szCs w:val="24"/>
        </w:rPr>
      </w:pPr>
    </w:p>
    <w:p w14:paraId="5C140CA3" w14:textId="77777777" w:rsidR="000C1E0E" w:rsidRDefault="000C1E0E" w:rsidP="000C1E0E">
      <w:pPr>
        <w:numPr>
          <w:ilvl w:val="0"/>
          <w:numId w:val="14"/>
        </w:numPr>
        <w:spacing w:after="200" w:line="360" w:lineRule="auto"/>
        <w:ind w:left="284" w:firstLine="567"/>
        <w:contextualSpacing/>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Рейтинговая группа I </w:t>
      </w:r>
    </w:p>
    <w:p w14:paraId="08359E30" w14:textId="77777777" w:rsidR="000C1E0E" w:rsidRDefault="000C1E0E" w:rsidP="000C1E0E">
      <w:pPr>
        <w:pStyle w:val="afc"/>
        <w:ind w:left="567"/>
        <w:rPr>
          <w:rFonts w:ascii="Times New Roman" w:hAnsi="Times New Roman"/>
          <w:sz w:val="24"/>
          <w:szCs w:val="24"/>
        </w:rPr>
      </w:pPr>
      <w:r>
        <w:rPr>
          <w:rFonts w:ascii="Times New Roman" w:hAnsi="Times New Roman"/>
          <w:sz w:val="24"/>
          <w:szCs w:val="24"/>
        </w:rPr>
        <w:t xml:space="preserve">    Индекс корпоративных облигаций (1-3 года, рейтинг ≥ BBB-), </w:t>
      </w:r>
    </w:p>
    <w:p w14:paraId="0C024A2B" w14:textId="77777777" w:rsidR="000C1E0E" w:rsidRDefault="000C1E0E" w:rsidP="000C1E0E">
      <w:pPr>
        <w:ind w:left="567"/>
        <w:rPr>
          <w:rFonts w:ascii="Times New Roman" w:hAnsi="Times New Roman"/>
          <w:b/>
          <w:sz w:val="24"/>
          <w:szCs w:val="24"/>
        </w:rPr>
      </w:pPr>
      <w:r>
        <w:rPr>
          <w:rFonts w:ascii="Times New Roman" w:hAnsi="Times New Roman"/>
          <w:sz w:val="24"/>
          <w:szCs w:val="24"/>
        </w:rPr>
        <w:t xml:space="preserve">    Тикер - </w:t>
      </w:r>
      <w:r>
        <w:rPr>
          <w:rFonts w:ascii="Times New Roman" w:hAnsi="Times New Roman"/>
          <w:b/>
          <w:sz w:val="24"/>
          <w:szCs w:val="24"/>
        </w:rPr>
        <w:t>RUCBICPBBB3Y;</w:t>
      </w:r>
    </w:p>
    <w:p w14:paraId="4EE405F9" w14:textId="77777777" w:rsidR="000C1E0E" w:rsidRDefault="000C1E0E" w:rsidP="000C1E0E">
      <w:pPr>
        <w:ind w:left="567"/>
        <w:rPr>
          <w:rFonts w:ascii="Times New Roman" w:hAnsi="Times New Roman"/>
          <w:sz w:val="24"/>
          <w:szCs w:val="24"/>
        </w:rPr>
      </w:pPr>
    </w:p>
    <w:p w14:paraId="1CC5FDB2" w14:textId="77777777" w:rsidR="000C1E0E" w:rsidRDefault="000C1E0E" w:rsidP="000C1E0E">
      <w:pPr>
        <w:numPr>
          <w:ilvl w:val="0"/>
          <w:numId w:val="14"/>
        </w:numPr>
        <w:spacing w:after="200" w:line="360" w:lineRule="auto"/>
        <w:ind w:left="284" w:firstLine="567"/>
        <w:contextualSpacing/>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Рейтинговая группа II</w:t>
      </w:r>
    </w:p>
    <w:p w14:paraId="72A26024" w14:textId="77777777" w:rsidR="000C1E0E" w:rsidRDefault="000C1E0E" w:rsidP="000C1E0E">
      <w:pPr>
        <w:pStyle w:val="afc"/>
        <w:ind w:left="567"/>
        <w:rPr>
          <w:rFonts w:ascii="Times New Roman" w:hAnsi="Times New Roman"/>
          <w:sz w:val="24"/>
          <w:szCs w:val="24"/>
        </w:rPr>
      </w:pPr>
      <w:r>
        <w:rPr>
          <w:rFonts w:ascii="Times New Roman" w:hAnsi="Times New Roman"/>
          <w:sz w:val="24"/>
          <w:szCs w:val="24"/>
        </w:rPr>
        <w:t xml:space="preserve">   Индекс корпоративных облигаций (1-3 года, BB- ≤рейтин &lt; BBB-), </w:t>
      </w:r>
    </w:p>
    <w:p w14:paraId="5A4F340C" w14:textId="77777777" w:rsidR="000C1E0E" w:rsidRDefault="000C1E0E" w:rsidP="000C1E0E">
      <w:pPr>
        <w:ind w:left="567"/>
        <w:rPr>
          <w:rFonts w:ascii="Times New Roman" w:hAnsi="Times New Roman"/>
          <w:b/>
          <w:sz w:val="24"/>
          <w:szCs w:val="24"/>
        </w:rPr>
      </w:pPr>
      <w:r>
        <w:rPr>
          <w:rFonts w:ascii="Times New Roman" w:hAnsi="Times New Roman"/>
          <w:sz w:val="24"/>
          <w:szCs w:val="24"/>
        </w:rPr>
        <w:t xml:space="preserve">   Тикер - </w:t>
      </w:r>
      <w:r>
        <w:rPr>
          <w:rFonts w:ascii="Times New Roman" w:hAnsi="Times New Roman"/>
          <w:b/>
          <w:sz w:val="24"/>
          <w:szCs w:val="24"/>
        </w:rPr>
        <w:t>RUCBICPBB3Y;</w:t>
      </w:r>
    </w:p>
    <w:p w14:paraId="2B8C8AA6" w14:textId="77777777" w:rsidR="000C1E0E" w:rsidRDefault="000C1E0E" w:rsidP="000C1E0E">
      <w:pPr>
        <w:ind w:left="567"/>
        <w:rPr>
          <w:rFonts w:ascii="Times New Roman" w:hAnsi="Times New Roman"/>
          <w:sz w:val="24"/>
          <w:szCs w:val="24"/>
        </w:rPr>
      </w:pPr>
    </w:p>
    <w:p w14:paraId="49AFD76C" w14:textId="77777777" w:rsidR="000C1E0E" w:rsidRDefault="000C1E0E" w:rsidP="000C1E0E">
      <w:pPr>
        <w:numPr>
          <w:ilvl w:val="0"/>
          <w:numId w:val="14"/>
        </w:numPr>
        <w:spacing w:after="200" w:line="360" w:lineRule="auto"/>
        <w:ind w:left="284" w:firstLine="567"/>
        <w:contextualSpacing/>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Рейтинговая группа III </w:t>
      </w:r>
    </w:p>
    <w:p w14:paraId="79E83142" w14:textId="77777777" w:rsidR="000C1E0E" w:rsidRDefault="000C1E0E" w:rsidP="000C1E0E">
      <w:pPr>
        <w:pStyle w:val="afc"/>
        <w:ind w:left="567"/>
        <w:rPr>
          <w:rFonts w:ascii="Times New Roman" w:hAnsi="Times New Roman"/>
          <w:sz w:val="24"/>
          <w:szCs w:val="24"/>
        </w:rPr>
      </w:pPr>
      <w:r>
        <w:rPr>
          <w:rFonts w:ascii="Times New Roman" w:hAnsi="Times New Roman"/>
          <w:sz w:val="24"/>
          <w:szCs w:val="24"/>
        </w:rPr>
        <w:t xml:space="preserve">   Индекс корпоративных облигаций (1-3 года, B- ≤ рейтинг &lt; BB-), </w:t>
      </w:r>
    </w:p>
    <w:p w14:paraId="5BB6A7D0" w14:textId="77777777" w:rsidR="000C1E0E" w:rsidRDefault="000C1E0E" w:rsidP="000C1E0E">
      <w:pPr>
        <w:ind w:left="567"/>
        <w:rPr>
          <w:rFonts w:ascii="Times New Roman" w:hAnsi="Times New Roman"/>
          <w:b/>
          <w:sz w:val="24"/>
          <w:szCs w:val="24"/>
        </w:rPr>
      </w:pPr>
      <w:r>
        <w:rPr>
          <w:rFonts w:ascii="Times New Roman" w:hAnsi="Times New Roman"/>
          <w:sz w:val="24"/>
          <w:szCs w:val="24"/>
        </w:rPr>
        <w:t xml:space="preserve">   Тикер - </w:t>
      </w:r>
      <w:r>
        <w:rPr>
          <w:rFonts w:ascii="Times New Roman" w:hAnsi="Times New Roman"/>
          <w:b/>
          <w:sz w:val="24"/>
          <w:szCs w:val="24"/>
        </w:rPr>
        <w:t>RUCBICPB3Y;</w:t>
      </w:r>
    </w:p>
    <w:p w14:paraId="0950B38D" w14:textId="77777777" w:rsidR="000C1E0E" w:rsidRDefault="000C1E0E" w:rsidP="000C1E0E">
      <w:pPr>
        <w:ind w:left="567"/>
        <w:rPr>
          <w:rFonts w:ascii="Times New Roman" w:hAnsi="Times New Roman"/>
          <w:sz w:val="24"/>
          <w:szCs w:val="24"/>
        </w:rPr>
      </w:pPr>
    </w:p>
    <w:p w14:paraId="7804EBA8" w14:textId="77777777" w:rsidR="000C1E0E" w:rsidRDefault="000C1E0E" w:rsidP="000C1E0E">
      <w:pPr>
        <w:numPr>
          <w:ilvl w:val="0"/>
          <w:numId w:val="14"/>
        </w:numPr>
        <w:spacing w:after="200" w:line="360" w:lineRule="auto"/>
        <w:ind w:left="284" w:firstLine="567"/>
        <w:contextualSpacing/>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Рейтинговая группа IV</w:t>
      </w:r>
    </w:p>
    <w:p w14:paraId="6FD17826" w14:textId="77777777" w:rsidR="000C1E0E" w:rsidRDefault="000C1E0E" w:rsidP="000C1E0E">
      <w:pPr>
        <w:pStyle w:val="afc"/>
        <w:ind w:left="851"/>
        <w:rPr>
          <w:rFonts w:ascii="Times New Roman" w:hAnsi="Times New Roman"/>
          <w:sz w:val="24"/>
          <w:szCs w:val="24"/>
        </w:rPr>
      </w:pPr>
      <w:r>
        <w:rPr>
          <w:rFonts w:ascii="Times New Roman" w:hAnsi="Times New Roman"/>
          <w:sz w:val="24"/>
          <w:szCs w:val="24"/>
        </w:rPr>
        <w:t xml:space="preserve">выбирается Индекс в зависимости от котировального уровня, в который входит долговая   ценная бумага: Индекс котировальных листов (котировальный уровень 2) или Индекс котировальных листов (котировальный уровень 3), </w:t>
      </w:r>
    </w:p>
    <w:p w14:paraId="51FB4E34" w14:textId="77777777" w:rsidR="000C1E0E" w:rsidRDefault="000C1E0E" w:rsidP="000C1E0E">
      <w:pPr>
        <w:ind w:left="851"/>
        <w:rPr>
          <w:rFonts w:ascii="Times New Roman" w:hAnsi="Times New Roman"/>
          <w:sz w:val="24"/>
          <w:szCs w:val="24"/>
        </w:rPr>
      </w:pPr>
      <w:r>
        <w:rPr>
          <w:rFonts w:ascii="Times New Roman" w:hAnsi="Times New Roman"/>
          <w:sz w:val="24"/>
          <w:szCs w:val="24"/>
        </w:rPr>
        <w:t xml:space="preserve">Тикер - </w:t>
      </w:r>
      <w:r>
        <w:rPr>
          <w:rFonts w:ascii="Times New Roman" w:hAnsi="Times New Roman"/>
          <w:b/>
          <w:sz w:val="24"/>
          <w:szCs w:val="24"/>
        </w:rPr>
        <w:t>RUCBICPL2</w:t>
      </w:r>
      <w:r>
        <w:rPr>
          <w:rFonts w:ascii="Times New Roman" w:hAnsi="Times New Roman"/>
          <w:sz w:val="24"/>
          <w:szCs w:val="24"/>
        </w:rPr>
        <w:t xml:space="preserve"> </w:t>
      </w:r>
    </w:p>
    <w:p w14:paraId="30F3F93B" w14:textId="77777777" w:rsidR="000C1E0E" w:rsidRDefault="000C1E0E" w:rsidP="000C1E0E">
      <w:pPr>
        <w:ind w:left="851"/>
        <w:rPr>
          <w:rFonts w:ascii="Times New Roman" w:hAnsi="Times New Roman"/>
          <w:sz w:val="24"/>
          <w:szCs w:val="24"/>
        </w:rPr>
      </w:pPr>
      <w:r>
        <w:rPr>
          <w:rFonts w:ascii="Times New Roman" w:hAnsi="Times New Roman"/>
          <w:sz w:val="24"/>
          <w:szCs w:val="24"/>
        </w:rPr>
        <w:t>Тикер -</w:t>
      </w:r>
      <w:r>
        <w:rPr>
          <w:rFonts w:ascii="Times New Roman" w:hAnsi="Times New Roman"/>
          <w:b/>
          <w:sz w:val="24"/>
          <w:szCs w:val="24"/>
        </w:rPr>
        <w:t>RUCBICPL3</w:t>
      </w:r>
      <w:r>
        <w:rPr>
          <w:rFonts w:ascii="Times New Roman" w:hAnsi="Times New Roman"/>
          <w:sz w:val="24"/>
          <w:szCs w:val="24"/>
        </w:rPr>
        <w:t>.</w:t>
      </w:r>
    </w:p>
    <w:p w14:paraId="1AAD2C32" w14:textId="77777777" w:rsidR="000C1E0E" w:rsidRDefault="000C1E0E" w:rsidP="000C1E0E">
      <w:pPr>
        <w:pStyle w:val="afc"/>
        <w:ind w:left="1224"/>
        <w:rPr>
          <w:rFonts w:ascii="Times New Roman" w:hAnsi="Times New Roman"/>
          <w:sz w:val="24"/>
          <w:szCs w:val="24"/>
        </w:rPr>
      </w:pPr>
      <w:r>
        <w:rPr>
          <w:rFonts w:ascii="Times New Roman" w:hAnsi="Times New Roman"/>
          <w:sz w:val="24"/>
          <w:szCs w:val="24"/>
        </w:rPr>
        <w:t xml:space="preserve"> </w:t>
      </w:r>
    </w:p>
    <w:p w14:paraId="008532E4" w14:textId="77777777" w:rsidR="000C1E0E" w:rsidRDefault="000C1E0E" w:rsidP="000C1E0E">
      <w:pPr>
        <w:pStyle w:val="afc"/>
        <w:numPr>
          <w:ilvl w:val="2"/>
          <w:numId w:val="18"/>
        </w:numPr>
        <w:spacing w:after="160" w:line="256" w:lineRule="auto"/>
        <w:jc w:val="both"/>
        <w:rPr>
          <w:rFonts w:ascii="Times New Roman" w:hAnsi="Times New Roman"/>
          <w:sz w:val="24"/>
          <w:szCs w:val="24"/>
        </w:rPr>
      </w:pPr>
      <w:r>
        <w:rPr>
          <w:rFonts w:ascii="Times New Roman" w:hAnsi="Times New Roman"/>
          <w:sz w:val="24"/>
          <w:szCs w:val="24"/>
        </w:rPr>
        <w:t>Если эмитент не имеет рейтинга, то используется подход «рейтинга по доходности». Для этого на последнюю дату, на которую имеется цена активного рынка (или на дату определения последнего купона или последней оферты), определяется наиболее близкий по доходности индекс облигаций, облигация в дальнейшем считается принадлежащей к этой категории рейтингов.</w:t>
      </w:r>
    </w:p>
    <w:p w14:paraId="10FDF533" w14:textId="77777777" w:rsidR="000C1E0E" w:rsidRDefault="000C1E0E" w:rsidP="000C1E0E">
      <w:pPr>
        <w:pStyle w:val="afc"/>
        <w:numPr>
          <w:ilvl w:val="0"/>
          <w:numId w:val="18"/>
        </w:numPr>
        <w:spacing w:after="160" w:line="256" w:lineRule="auto"/>
        <w:jc w:val="both"/>
        <w:rPr>
          <w:rFonts w:ascii="Times New Roman" w:hAnsi="Times New Roman"/>
          <w:b/>
          <w:i/>
          <w:sz w:val="24"/>
          <w:szCs w:val="24"/>
        </w:rPr>
      </w:pPr>
      <w:r>
        <w:rPr>
          <w:rFonts w:ascii="Times New Roman" w:hAnsi="Times New Roman"/>
          <w:b/>
          <w:i/>
          <w:sz w:val="24"/>
          <w:szCs w:val="24"/>
        </w:rPr>
        <w:t>По эмитенту/облигации происходило резкое изменение кредитного качества.</w:t>
      </w:r>
    </w:p>
    <w:p w14:paraId="79B46AFC" w14:textId="77777777" w:rsidR="000C1E0E" w:rsidRDefault="000C1E0E" w:rsidP="000C1E0E">
      <w:pPr>
        <w:pStyle w:val="afc"/>
        <w:numPr>
          <w:ilvl w:val="1"/>
          <w:numId w:val="18"/>
        </w:numPr>
        <w:spacing w:after="160" w:line="256" w:lineRule="auto"/>
        <w:jc w:val="both"/>
        <w:rPr>
          <w:rFonts w:ascii="Times New Roman" w:hAnsi="Times New Roman"/>
          <w:sz w:val="24"/>
          <w:szCs w:val="24"/>
        </w:rPr>
      </w:pPr>
      <w:r>
        <w:rPr>
          <w:rFonts w:ascii="Times New Roman" w:hAnsi="Times New Roman"/>
          <w:sz w:val="24"/>
          <w:szCs w:val="24"/>
        </w:rPr>
        <w:t>Если произошло улучшение кредитного качества в следствии покупки эмитента компанией с большей кредитоспособностью (более высоким рейтингом), то при определении неизвестных купонов в порядке, описанном в п. 1, в качестве аналогичных выпусков используются облигации компании-покупателя.</w:t>
      </w:r>
    </w:p>
    <w:p w14:paraId="19793980" w14:textId="77777777" w:rsidR="000C1E0E" w:rsidRDefault="000C1E0E" w:rsidP="000C1E0E">
      <w:pPr>
        <w:pStyle w:val="afc"/>
        <w:ind w:left="1224"/>
        <w:rPr>
          <w:rFonts w:ascii="Times New Roman" w:hAnsi="Times New Roman"/>
          <w:sz w:val="24"/>
          <w:szCs w:val="24"/>
        </w:rPr>
      </w:pPr>
    </w:p>
    <w:p w14:paraId="5A9FAD9A" w14:textId="77777777" w:rsidR="000C1E0E" w:rsidRDefault="000C1E0E" w:rsidP="000C1E0E">
      <w:pPr>
        <w:pStyle w:val="afc"/>
        <w:numPr>
          <w:ilvl w:val="1"/>
          <w:numId w:val="18"/>
        </w:numPr>
        <w:spacing w:after="160" w:line="256" w:lineRule="auto"/>
        <w:jc w:val="both"/>
        <w:rPr>
          <w:rFonts w:ascii="Times New Roman" w:hAnsi="Times New Roman"/>
          <w:sz w:val="24"/>
          <w:szCs w:val="24"/>
        </w:rPr>
      </w:pPr>
      <w:r>
        <w:rPr>
          <w:rFonts w:ascii="Times New Roman" w:hAnsi="Times New Roman"/>
          <w:sz w:val="24"/>
          <w:szCs w:val="24"/>
        </w:rPr>
        <w:t xml:space="preserve">Если произошло ухудшение кредитного качества (снижение рейтинга, корпоративный конфликт, значимые претензии контрагентов или государственных органов и т.п.), то определяются аналогичные ситуации с другими эмитентами в прошлом. В качестве базы для определения доходности для расчета величины неизвестных купонов используется относительный рост спрэда подвергнувшегося стрессу эмитента в прошлом, умноженный на кредитный спрэд оцениваемого эмитента до момента стрессового события. Относительный рост спрэда рассчитывается как отношение среднего спрэда за 10 (десять) дней с момента стрессового события к спрэду до стрессового события. При этом в течении указанных десяти дней должно быть не менее 5 (пяти) дней, на которые по результатам торгов есть цены, используемые для оценки на активном рынке. В случае если таких дней менее пяти, то для расчета относительного спрэда используются первые такие пять дней. </w:t>
      </w:r>
    </w:p>
    <w:p w14:paraId="3AD3DF70" w14:textId="77777777" w:rsidR="000C1E0E" w:rsidRDefault="000C1E0E" w:rsidP="000C1E0E">
      <w:pPr>
        <w:pStyle w:val="afc"/>
        <w:rPr>
          <w:rFonts w:ascii="Times New Roman" w:hAnsi="Times New Roman"/>
          <w:b/>
          <w:i/>
          <w:sz w:val="24"/>
          <w:szCs w:val="24"/>
        </w:rPr>
      </w:pPr>
    </w:p>
    <w:p w14:paraId="6D2F9424" w14:textId="77777777" w:rsidR="000C1E0E" w:rsidRDefault="000C1E0E" w:rsidP="000C1E0E">
      <w:pPr>
        <w:pStyle w:val="afc"/>
        <w:numPr>
          <w:ilvl w:val="1"/>
          <w:numId w:val="18"/>
        </w:numPr>
        <w:spacing w:after="160" w:line="256" w:lineRule="auto"/>
        <w:jc w:val="both"/>
        <w:rPr>
          <w:rFonts w:ascii="Times New Roman" w:hAnsi="Times New Roman"/>
          <w:sz w:val="24"/>
          <w:szCs w:val="24"/>
        </w:rPr>
      </w:pPr>
      <w:r>
        <w:rPr>
          <w:rFonts w:ascii="Times New Roman" w:hAnsi="Times New Roman"/>
          <w:sz w:val="24"/>
          <w:szCs w:val="24"/>
        </w:rPr>
        <w:t>Резкое изменение кредитного качества может признаваться в следующих случаях (включая, но не ограничиваясь):</w:t>
      </w:r>
    </w:p>
    <w:p w14:paraId="55531BB8" w14:textId="77777777" w:rsidR="000C1E0E" w:rsidRDefault="000C1E0E" w:rsidP="000C1E0E">
      <w:pPr>
        <w:pStyle w:val="afc"/>
        <w:spacing w:after="160" w:line="256" w:lineRule="auto"/>
        <w:jc w:val="both"/>
        <w:rPr>
          <w:rFonts w:ascii="Times New Roman" w:hAnsi="Times New Roman"/>
          <w:sz w:val="24"/>
          <w:szCs w:val="24"/>
        </w:rPr>
      </w:pPr>
      <w:r>
        <w:rPr>
          <w:rFonts w:ascii="Times New Roman" w:hAnsi="Times New Roman"/>
          <w:sz w:val="24"/>
          <w:szCs w:val="24"/>
        </w:rPr>
        <w:t>- снижение/рост рейтинга выпуска/эмитента;</w:t>
      </w:r>
    </w:p>
    <w:p w14:paraId="705B383C" w14:textId="77777777" w:rsidR="000C1E0E" w:rsidRDefault="000C1E0E" w:rsidP="000C1E0E">
      <w:pPr>
        <w:pStyle w:val="afc"/>
        <w:spacing w:after="160" w:line="256" w:lineRule="auto"/>
        <w:jc w:val="both"/>
        <w:rPr>
          <w:rFonts w:ascii="Times New Roman" w:hAnsi="Times New Roman"/>
          <w:sz w:val="24"/>
          <w:szCs w:val="24"/>
        </w:rPr>
      </w:pPr>
      <w:r>
        <w:rPr>
          <w:rFonts w:ascii="Times New Roman" w:hAnsi="Times New Roman"/>
          <w:sz w:val="24"/>
          <w:szCs w:val="24"/>
        </w:rPr>
        <w:t>- приобретение эмитента компанией с более высоким/низким кредитным качеством (более высоким/низким рейтингом);</w:t>
      </w:r>
    </w:p>
    <w:p w14:paraId="76894031" w14:textId="77777777" w:rsidR="000C1E0E" w:rsidRDefault="000C1E0E" w:rsidP="000C1E0E">
      <w:pPr>
        <w:pStyle w:val="afc"/>
        <w:spacing w:after="160" w:line="256" w:lineRule="auto"/>
        <w:jc w:val="both"/>
        <w:rPr>
          <w:rFonts w:ascii="Times New Roman" w:hAnsi="Times New Roman"/>
          <w:sz w:val="24"/>
          <w:szCs w:val="24"/>
        </w:rPr>
      </w:pPr>
      <w:r>
        <w:rPr>
          <w:rFonts w:ascii="Times New Roman" w:hAnsi="Times New Roman"/>
          <w:sz w:val="24"/>
          <w:szCs w:val="24"/>
        </w:rPr>
        <w:t>- включение эмитента в санкционный список;</w:t>
      </w:r>
    </w:p>
    <w:p w14:paraId="0A70954F" w14:textId="77777777" w:rsidR="000C1E0E" w:rsidRDefault="000C1E0E" w:rsidP="000C1E0E">
      <w:pPr>
        <w:pStyle w:val="afc"/>
        <w:spacing w:after="160" w:line="256" w:lineRule="auto"/>
        <w:jc w:val="both"/>
        <w:rPr>
          <w:rFonts w:ascii="Times New Roman" w:hAnsi="Times New Roman"/>
          <w:sz w:val="24"/>
          <w:szCs w:val="24"/>
        </w:rPr>
      </w:pPr>
      <w:r>
        <w:rPr>
          <w:rFonts w:ascii="Times New Roman" w:hAnsi="Times New Roman"/>
          <w:sz w:val="24"/>
          <w:szCs w:val="24"/>
        </w:rPr>
        <w:t>- серьезный корпоративный конфликт;</w:t>
      </w:r>
    </w:p>
    <w:p w14:paraId="1C1CB4C5" w14:textId="77777777" w:rsidR="000C1E0E" w:rsidRPr="00142075" w:rsidRDefault="000C1E0E" w:rsidP="000C1E0E">
      <w:pPr>
        <w:pStyle w:val="aff0"/>
      </w:pPr>
      <w:r>
        <w:rPr>
          <w:sz w:val="24"/>
          <w:szCs w:val="24"/>
        </w:rPr>
        <w:t>- значительные претензии контрагентов или государственных органов.</w:t>
      </w:r>
    </w:p>
    <w:p w14:paraId="51B94551" w14:textId="77777777" w:rsidR="00543EE4" w:rsidRPr="00142075" w:rsidRDefault="00543EE4" w:rsidP="00543EE4">
      <w:pPr>
        <w:pStyle w:val="aff0"/>
      </w:pPr>
    </w:p>
    <w:p w14:paraId="4BA5250B" w14:textId="77777777" w:rsidR="00543EE4" w:rsidRPr="00142075" w:rsidRDefault="00543EE4" w:rsidP="00543EE4"/>
    <w:p w14:paraId="76793F36" w14:textId="77777777" w:rsidR="00543EE4" w:rsidRPr="00142075" w:rsidRDefault="00543EE4" w:rsidP="00543EE4">
      <w:pPr>
        <w:spacing w:line="360" w:lineRule="auto"/>
        <w:ind w:firstLine="426"/>
        <w:jc w:val="left"/>
        <w:rPr>
          <w:rFonts w:ascii="Times New Roman" w:eastAsiaTheme="minorHAnsi" w:hAnsi="Times New Roman"/>
          <w:b/>
          <w:sz w:val="24"/>
          <w:szCs w:val="24"/>
          <w:lang w:eastAsia="en-US"/>
        </w:rPr>
      </w:pPr>
    </w:p>
    <w:p w14:paraId="564A83C8" w14:textId="77777777" w:rsidR="000462AC" w:rsidRPr="00142075" w:rsidRDefault="000462AC">
      <w:pPr>
        <w:spacing w:line="240" w:lineRule="auto"/>
        <w:jc w:val="left"/>
        <w:rPr>
          <w:rFonts w:ascii="Times New Roman" w:eastAsia="Calibri" w:hAnsi="Times New Roman"/>
          <w:sz w:val="24"/>
          <w:szCs w:val="24"/>
        </w:rPr>
      </w:pPr>
    </w:p>
    <w:sectPr w:rsidR="000462AC" w:rsidRPr="00142075" w:rsidSect="0072606A">
      <w:footerReference w:type="default" r:id="rId104"/>
      <w:pgSz w:w="11906" w:h="16838"/>
      <w:pgMar w:top="1134" w:right="851" w:bottom="1134" w:left="1701" w:header="709" w:footer="5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ECB1F" w14:textId="77777777" w:rsidR="00C375C8" w:rsidRDefault="00C375C8" w:rsidP="00685E5D">
      <w:pPr>
        <w:spacing w:line="240" w:lineRule="auto"/>
      </w:pPr>
      <w:r>
        <w:separator/>
      </w:r>
    </w:p>
  </w:endnote>
  <w:endnote w:type="continuationSeparator" w:id="0">
    <w:p w14:paraId="520F37E3" w14:textId="77777777" w:rsidR="00C375C8" w:rsidRDefault="00C375C8" w:rsidP="00685E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altName w:val="Symbol"/>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Lucida Console"/>
    <w:panose1 w:val="02070309020205020404"/>
    <w:charset w:val="CC"/>
    <w:family w:val="modern"/>
    <w:pitch w:val="fixed"/>
    <w:sig w:usb0="E0002EFF" w:usb1="C0007843"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Arial">
    <w:altName w:val="Times New Roman"/>
    <w:panose1 w:val="020B0604020202020204"/>
    <w:charset w:val="CC"/>
    <w:family w:val="swiss"/>
    <w:pitch w:val="variable"/>
    <w:sig w:usb0="E0002EFF" w:usb1="C000785B" w:usb2="00000009" w:usb3="00000000" w:csb0="000001FF" w:csb1="00000000"/>
  </w:font>
  <w:font w:name="Verdana">
    <w:altName w:val=" Arial"/>
    <w:panose1 w:val="020B0604030504040204"/>
    <w:charset w:val="CC"/>
    <w:family w:val="swiss"/>
    <w:pitch w:val="variable"/>
    <w:sig w:usb0="A00006FF" w:usb1="4000205B" w:usb2="0000001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alibri">
    <w:altName w:val="Century Gothic"/>
    <w:panose1 w:val="020F0502020204030204"/>
    <w:charset w:val="CC"/>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altName w:val="Palatino Linotype"/>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1C3AE" w14:textId="3B99EECC" w:rsidR="00C375C8" w:rsidRPr="0072606A" w:rsidRDefault="00C375C8" w:rsidP="0090527C">
    <w:pPr>
      <w:pStyle w:val="ac"/>
      <w:tabs>
        <w:tab w:val="clear" w:pos="9355"/>
        <w:tab w:val="left" w:pos="2742"/>
        <w:tab w:val="right" w:pos="9354"/>
      </w:tabs>
      <w:jc w:val="left"/>
      <w:rPr>
        <w:sz w:val="20"/>
      </w:rPr>
    </w:pPr>
    <w:r>
      <w:rPr>
        <w:sz w:val="20"/>
      </w:rPr>
      <w:tab/>
    </w:r>
    <w:r>
      <w:rPr>
        <w:sz w:val="20"/>
      </w:rPr>
      <w:tab/>
    </w:r>
    <w:r>
      <w:rPr>
        <w:sz w:val="20"/>
      </w:rPr>
      <w:tab/>
    </w:r>
    <w:r w:rsidRPr="0072606A">
      <w:rPr>
        <w:sz w:val="20"/>
      </w:rPr>
      <w:fldChar w:fldCharType="begin"/>
    </w:r>
    <w:r w:rsidRPr="0072606A">
      <w:rPr>
        <w:sz w:val="20"/>
      </w:rPr>
      <w:instrText>PAGE   \* MERGEFORMAT</w:instrText>
    </w:r>
    <w:r w:rsidRPr="0072606A">
      <w:rPr>
        <w:sz w:val="20"/>
      </w:rPr>
      <w:fldChar w:fldCharType="separate"/>
    </w:r>
    <w:r w:rsidR="00C84628">
      <w:rPr>
        <w:noProof/>
        <w:sz w:val="20"/>
      </w:rPr>
      <w:t>1</w:t>
    </w:r>
    <w:r w:rsidRPr="0072606A">
      <w:rPr>
        <w:sz w:val="20"/>
      </w:rPr>
      <w:fldChar w:fldCharType="end"/>
    </w:r>
  </w:p>
  <w:p w14:paraId="79ACDA60" w14:textId="77777777" w:rsidR="00C375C8" w:rsidRDefault="00C375C8">
    <w:pPr>
      <w:pStyle w:val="ac"/>
    </w:pPr>
  </w:p>
  <w:p w14:paraId="774291ED" w14:textId="77777777" w:rsidR="00C375C8" w:rsidRDefault="00C375C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8D830" w14:textId="77777777" w:rsidR="00C375C8" w:rsidRDefault="00C375C8" w:rsidP="00685E5D">
      <w:pPr>
        <w:spacing w:line="240" w:lineRule="auto"/>
      </w:pPr>
      <w:r>
        <w:separator/>
      </w:r>
    </w:p>
  </w:footnote>
  <w:footnote w:type="continuationSeparator" w:id="0">
    <w:p w14:paraId="3AB6C3C3" w14:textId="77777777" w:rsidR="00C375C8" w:rsidRDefault="00C375C8" w:rsidP="00685E5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0"/>
    <w:multiLevelType w:val="multilevel"/>
    <w:tmpl w:val="00000010"/>
    <w:name w:val="WWNum30"/>
    <w:lvl w:ilvl="0">
      <w:start w:val="1"/>
      <w:numFmt w:val="bullet"/>
      <w:lvlText w:val=""/>
      <w:lvlJc w:val="left"/>
      <w:pPr>
        <w:tabs>
          <w:tab w:val="num" w:pos="0"/>
        </w:tabs>
        <w:ind w:left="1440" w:hanging="360"/>
      </w:pPr>
      <w:rPr>
        <w:rFonts w:ascii="Wingdings" w:hAnsi="Wingdings"/>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1" w15:restartNumberingAfterBreak="0">
    <w:nsid w:val="00000011"/>
    <w:multiLevelType w:val="multilevel"/>
    <w:tmpl w:val="00000011"/>
    <w:name w:val="WWNum3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A8A1059"/>
    <w:multiLevelType w:val="hybridMultilevel"/>
    <w:tmpl w:val="B2026A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9B5EEC"/>
    <w:multiLevelType w:val="hybridMultilevel"/>
    <w:tmpl w:val="2DEAF002"/>
    <w:lvl w:ilvl="0" w:tplc="9B76A66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14286BDE"/>
    <w:multiLevelType w:val="hybridMultilevel"/>
    <w:tmpl w:val="1CFAF5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8AF2781"/>
    <w:multiLevelType w:val="hybridMultilevel"/>
    <w:tmpl w:val="5D363D9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21695FB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822B22"/>
    <w:multiLevelType w:val="multilevel"/>
    <w:tmpl w:val="777088F4"/>
    <w:lvl w:ilvl="0">
      <w:start w:val="1"/>
      <w:numFmt w:val="decimal"/>
      <w:lvlText w:val="%1."/>
      <w:lvlJc w:val="left"/>
      <w:pPr>
        <w:tabs>
          <w:tab w:val="num" w:pos="480"/>
        </w:tabs>
        <w:ind w:left="480" w:hanging="480"/>
      </w:pPr>
      <w:rPr>
        <w:rFonts w:cs="Times New Roman" w:hint="default"/>
        <w:color w:val="auto"/>
      </w:rPr>
    </w:lvl>
    <w:lvl w:ilvl="1">
      <w:start w:val="1"/>
      <w:numFmt w:val="decimal"/>
      <w:lvlText w:val="%1.%2."/>
      <w:lvlJc w:val="left"/>
      <w:pPr>
        <w:tabs>
          <w:tab w:val="num" w:pos="720"/>
        </w:tabs>
        <w:ind w:left="720" w:hanging="720"/>
      </w:pPr>
      <w:rPr>
        <w:rFonts w:cs="Times New Roman" w:hint="default"/>
        <w:b w:val="0"/>
        <w:color w:val="auto"/>
        <w:sz w:val="20"/>
        <w:szCs w:val="20"/>
      </w:rPr>
    </w:lvl>
    <w:lvl w:ilvl="2">
      <w:start w:val="1"/>
      <w:numFmt w:val="decimal"/>
      <w:lvlText w:val="%1.%2.%3."/>
      <w:lvlJc w:val="left"/>
      <w:pPr>
        <w:tabs>
          <w:tab w:val="num" w:pos="720"/>
        </w:tabs>
        <w:ind w:left="720" w:hanging="720"/>
      </w:pPr>
      <w:rPr>
        <w:rFonts w:cs="Times New Roman" w:hint="default"/>
        <w:b w:val="0"/>
        <w:color w:val="auto"/>
        <w:sz w:val="20"/>
        <w:szCs w:val="20"/>
      </w:rPr>
    </w:lvl>
    <w:lvl w:ilvl="3">
      <w:start w:val="1"/>
      <w:numFmt w:val="decimal"/>
      <w:lvlText w:val="%1.%2.%3.%4."/>
      <w:lvlJc w:val="left"/>
      <w:pPr>
        <w:tabs>
          <w:tab w:val="num" w:pos="1080"/>
        </w:tabs>
        <w:ind w:left="1080" w:hanging="1080"/>
      </w:pPr>
      <w:rPr>
        <w:rFonts w:cs="Times New Roman" w:hint="default"/>
        <w:color w:val="auto"/>
      </w:rPr>
    </w:lvl>
    <w:lvl w:ilvl="4">
      <w:start w:val="1"/>
      <w:numFmt w:val="decimal"/>
      <w:lvlText w:val="%1.%2.%3.%4.%5."/>
      <w:lvlJc w:val="left"/>
      <w:pPr>
        <w:tabs>
          <w:tab w:val="num" w:pos="1440"/>
        </w:tabs>
        <w:ind w:left="1440" w:hanging="1440"/>
      </w:pPr>
      <w:rPr>
        <w:rFonts w:cs="Times New Roman" w:hint="default"/>
        <w:color w:val="auto"/>
      </w:rPr>
    </w:lvl>
    <w:lvl w:ilvl="5">
      <w:start w:val="1"/>
      <w:numFmt w:val="decimal"/>
      <w:lvlText w:val="%1.%2.%3.%4.%5.%6."/>
      <w:lvlJc w:val="left"/>
      <w:pPr>
        <w:tabs>
          <w:tab w:val="num" w:pos="1440"/>
        </w:tabs>
        <w:ind w:left="1440" w:hanging="1440"/>
      </w:pPr>
      <w:rPr>
        <w:rFonts w:cs="Times New Roman" w:hint="default"/>
        <w:color w:val="auto"/>
      </w:rPr>
    </w:lvl>
    <w:lvl w:ilvl="6">
      <w:start w:val="1"/>
      <w:numFmt w:val="decimal"/>
      <w:lvlText w:val="%1.%2.%3.%4.%5.%6.%7."/>
      <w:lvlJc w:val="left"/>
      <w:pPr>
        <w:tabs>
          <w:tab w:val="num" w:pos="1800"/>
        </w:tabs>
        <w:ind w:left="1800" w:hanging="1800"/>
      </w:pPr>
      <w:rPr>
        <w:rFonts w:cs="Times New Roman" w:hint="default"/>
        <w:color w:val="auto"/>
      </w:rPr>
    </w:lvl>
    <w:lvl w:ilvl="7">
      <w:start w:val="1"/>
      <w:numFmt w:val="decimal"/>
      <w:lvlText w:val="%1.%2.%3.%4.%5.%6.%7.%8."/>
      <w:lvlJc w:val="left"/>
      <w:pPr>
        <w:tabs>
          <w:tab w:val="num" w:pos="2160"/>
        </w:tabs>
        <w:ind w:left="2160" w:hanging="2160"/>
      </w:pPr>
      <w:rPr>
        <w:rFonts w:cs="Times New Roman" w:hint="default"/>
        <w:color w:val="auto"/>
      </w:rPr>
    </w:lvl>
    <w:lvl w:ilvl="8">
      <w:start w:val="1"/>
      <w:numFmt w:val="decimal"/>
      <w:lvlText w:val="%1.%2.%3.%4.%5.%6.%7.%8.%9."/>
      <w:lvlJc w:val="left"/>
      <w:pPr>
        <w:tabs>
          <w:tab w:val="num" w:pos="2160"/>
        </w:tabs>
        <w:ind w:left="2160" w:hanging="2160"/>
      </w:pPr>
      <w:rPr>
        <w:rFonts w:cs="Times New Roman" w:hint="default"/>
        <w:color w:val="auto"/>
      </w:rPr>
    </w:lvl>
  </w:abstractNum>
  <w:abstractNum w:abstractNumId="8" w15:restartNumberingAfterBreak="0">
    <w:nsid w:val="317D5642"/>
    <w:multiLevelType w:val="hybridMultilevel"/>
    <w:tmpl w:val="75BC4B0E"/>
    <w:lvl w:ilvl="0" w:tplc="FE9A205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B16692E"/>
    <w:multiLevelType w:val="multilevel"/>
    <w:tmpl w:val="80803ABE"/>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15:restartNumberingAfterBreak="0">
    <w:nsid w:val="43473A97"/>
    <w:multiLevelType w:val="hybridMultilevel"/>
    <w:tmpl w:val="FD6CE6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7E7753D"/>
    <w:multiLevelType w:val="multilevel"/>
    <w:tmpl w:val="E932D372"/>
    <w:lvl w:ilvl="0">
      <w:start w:val="1"/>
      <w:numFmt w:val="upperRoman"/>
      <w:pStyle w:val="a"/>
      <w:lvlText w:val="%1."/>
      <w:lvlJc w:val="left"/>
      <w:pPr>
        <w:ind w:left="502"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14" w:hanging="504"/>
      </w:pPr>
      <w:rPr>
        <w:rFonts w:hint="default"/>
      </w:rPr>
    </w:lvl>
    <w:lvl w:ilvl="3">
      <w:start w:val="1"/>
      <w:numFmt w:val="decimal"/>
      <w:pStyle w:val="3"/>
      <w:lvlText w:val="%2.%3.%4."/>
      <w:lvlJc w:val="left"/>
      <w:pPr>
        <w:ind w:left="2323" w:hanging="621"/>
      </w:pPr>
      <w:rPr>
        <w:rFonts w:hint="default"/>
      </w:rPr>
    </w:lvl>
    <w:lvl w:ilvl="4">
      <w:start w:val="1"/>
      <w:numFmt w:val="lowerLetter"/>
      <w:pStyle w:val="4"/>
      <w:lvlText w:val="(%5)"/>
      <w:lvlJc w:val="left"/>
      <w:pPr>
        <w:ind w:left="829"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8DF2612"/>
    <w:multiLevelType w:val="hybridMultilevel"/>
    <w:tmpl w:val="5E08AD6C"/>
    <w:lvl w:ilvl="0" w:tplc="1226BDEA">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B3F430E"/>
    <w:multiLevelType w:val="hybridMultilevel"/>
    <w:tmpl w:val="5756EA64"/>
    <w:lvl w:ilvl="0" w:tplc="509608D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EC41F2B"/>
    <w:multiLevelType w:val="hybridMultilevel"/>
    <w:tmpl w:val="FADA347E"/>
    <w:lvl w:ilvl="0" w:tplc="8634FEA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71662E2D"/>
    <w:multiLevelType w:val="hybridMultilevel"/>
    <w:tmpl w:val="D57C79DC"/>
    <w:lvl w:ilvl="0" w:tplc="F1AA8E0C">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76975E14"/>
    <w:multiLevelType w:val="hybridMultilevel"/>
    <w:tmpl w:val="6FD6E902"/>
    <w:lvl w:ilvl="0" w:tplc="6FE4F6DE">
      <w:start w:val="1"/>
      <w:numFmt w:val="bullet"/>
      <w:pStyle w:val="a0"/>
      <w:lvlText w:val=""/>
      <w:lvlJc w:val="left"/>
      <w:pPr>
        <w:ind w:left="6314" w:hanging="360"/>
      </w:pPr>
      <w:rPr>
        <w:rFonts w:ascii="Symbol" w:hAnsi="Symbol" w:hint="default"/>
      </w:rPr>
    </w:lvl>
    <w:lvl w:ilvl="1" w:tplc="04190019" w:tentative="1">
      <w:start w:val="1"/>
      <w:numFmt w:val="bullet"/>
      <w:lvlText w:val="o"/>
      <w:lvlJc w:val="left"/>
      <w:pPr>
        <w:ind w:left="1080" w:hanging="360"/>
      </w:pPr>
      <w:rPr>
        <w:rFonts w:ascii="Courier New" w:hAnsi="Courier New" w:cs="Courier New" w:hint="default"/>
      </w:rPr>
    </w:lvl>
    <w:lvl w:ilvl="2" w:tplc="0419001B" w:tentative="1">
      <w:start w:val="1"/>
      <w:numFmt w:val="bullet"/>
      <w:lvlText w:val=""/>
      <w:lvlJc w:val="left"/>
      <w:pPr>
        <w:ind w:left="1800" w:hanging="360"/>
      </w:pPr>
      <w:rPr>
        <w:rFonts w:ascii="Wingdings" w:hAnsi="Wingdings" w:hint="default"/>
      </w:rPr>
    </w:lvl>
    <w:lvl w:ilvl="3" w:tplc="0419000F" w:tentative="1">
      <w:start w:val="1"/>
      <w:numFmt w:val="bullet"/>
      <w:lvlText w:val=""/>
      <w:lvlJc w:val="left"/>
      <w:pPr>
        <w:ind w:left="2520" w:hanging="360"/>
      </w:pPr>
      <w:rPr>
        <w:rFonts w:ascii="Symbol" w:hAnsi="Symbol" w:hint="default"/>
      </w:rPr>
    </w:lvl>
    <w:lvl w:ilvl="4" w:tplc="04190019" w:tentative="1">
      <w:start w:val="1"/>
      <w:numFmt w:val="bullet"/>
      <w:lvlText w:val="o"/>
      <w:lvlJc w:val="left"/>
      <w:pPr>
        <w:ind w:left="3240" w:hanging="360"/>
      </w:pPr>
      <w:rPr>
        <w:rFonts w:ascii="Courier New" w:hAnsi="Courier New" w:cs="Courier New" w:hint="default"/>
      </w:rPr>
    </w:lvl>
    <w:lvl w:ilvl="5" w:tplc="0419001B" w:tentative="1">
      <w:start w:val="1"/>
      <w:numFmt w:val="bullet"/>
      <w:lvlText w:val=""/>
      <w:lvlJc w:val="left"/>
      <w:pPr>
        <w:ind w:left="3960" w:hanging="360"/>
      </w:pPr>
      <w:rPr>
        <w:rFonts w:ascii="Wingdings" w:hAnsi="Wingdings" w:hint="default"/>
      </w:rPr>
    </w:lvl>
    <w:lvl w:ilvl="6" w:tplc="0419000F" w:tentative="1">
      <w:start w:val="1"/>
      <w:numFmt w:val="bullet"/>
      <w:lvlText w:val=""/>
      <w:lvlJc w:val="left"/>
      <w:pPr>
        <w:ind w:left="4680" w:hanging="360"/>
      </w:pPr>
      <w:rPr>
        <w:rFonts w:ascii="Symbol" w:hAnsi="Symbol" w:hint="default"/>
      </w:rPr>
    </w:lvl>
    <w:lvl w:ilvl="7" w:tplc="04190019" w:tentative="1">
      <w:start w:val="1"/>
      <w:numFmt w:val="bullet"/>
      <w:lvlText w:val="o"/>
      <w:lvlJc w:val="left"/>
      <w:pPr>
        <w:ind w:left="5400" w:hanging="360"/>
      </w:pPr>
      <w:rPr>
        <w:rFonts w:ascii="Courier New" w:hAnsi="Courier New" w:cs="Courier New" w:hint="default"/>
      </w:rPr>
    </w:lvl>
    <w:lvl w:ilvl="8" w:tplc="0419001B" w:tentative="1">
      <w:start w:val="1"/>
      <w:numFmt w:val="bullet"/>
      <w:lvlText w:val=""/>
      <w:lvlJc w:val="left"/>
      <w:pPr>
        <w:ind w:left="6120" w:hanging="360"/>
      </w:pPr>
      <w:rPr>
        <w:rFonts w:ascii="Wingdings" w:hAnsi="Wingdings" w:hint="default"/>
      </w:rPr>
    </w:lvl>
  </w:abstractNum>
  <w:abstractNum w:abstractNumId="18" w15:restartNumberingAfterBreak="0">
    <w:nsid w:val="7AC7680D"/>
    <w:multiLevelType w:val="hybridMultilevel"/>
    <w:tmpl w:val="CFC42C5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ACD5922"/>
    <w:multiLevelType w:val="hybridMultilevel"/>
    <w:tmpl w:val="2D2C54D0"/>
    <w:lvl w:ilvl="0" w:tplc="F716A09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1"/>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
  </w:num>
  <w:num w:numId="14">
    <w:abstractNumId w:val="4"/>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3"/>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AFB"/>
    <w:rsid w:val="00001C33"/>
    <w:rsid w:val="00001FCF"/>
    <w:rsid w:val="000040CA"/>
    <w:rsid w:val="0000433C"/>
    <w:rsid w:val="00005E2A"/>
    <w:rsid w:val="000079AD"/>
    <w:rsid w:val="00007D8E"/>
    <w:rsid w:val="000132B0"/>
    <w:rsid w:val="00020953"/>
    <w:rsid w:val="00021A2F"/>
    <w:rsid w:val="00022FDE"/>
    <w:rsid w:val="000237BC"/>
    <w:rsid w:val="00026807"/>
    <w:rsid w:val="00026AB2"/>
    <w:rsid w:val="00031F18"/>
    <w:rsid w:val="0003332C"/>
    <w:rsid w:val="000335C7"/>
    <w:rsid w:val="00037FEF"/>
    <w:rsid w:val="0004137A"/>
    <w:rsid w:val="00043106"/>
    <w:rsid w:val="00043903"/>
    <w:rsid w:val="000445F1"/>
    <w:rsid w:val="00044B70"/>
    <w:rsid w:val="00045689"/>
    <w:rsid w:val="000459AE"/>
    <w:rsid w:val="000462AC"/>
    <w:rsid w:val="0004690D"/>
    <w:rsid w:val="0005072F"/>
    <w:rsid w:val="00051545"/>
    <w:rsid w:val="000516D8"/>
    <w:rsid w:val="000517DF"/>
    <w:rsid w:val="00053A39"/>
    <w:rsid w:val="00054957"/>
    <w:rsid w:val="00055505"/>
    <w:rsid w:val="00056D33"/>
    <w:rsid w:val="0006481C"/>
    <w:rsid w:val="00064DD9"/>
    <w:rsid w:val="00067375"/>
    <w:rsid w:val="00067CEC"/>
    <w:rsid w:val="00071F7A"/>
    <w:rsid w:val="000733E1"/>
    <w:rsid w:val="0007741D"/>
    <w:rsid w:val="00077471"/>
    <w:rsid w:val="00080041"/>
    <w:rsid w:val="00081263"/>
    <w:rsid w:val="00082243"/>
    <w:rsid w:val="00083553"/>
    <w:rsid w:val="00083C16"/>
    <w:rsid w:val="00085998"/>
    <w:rsid w:val="0009087A"/>
    <w:rsid w:val="00090D1E"/>
    <w:rsid w:val="00091177"/>
    <w:rsid w:val="000917B5"/>
    <w:rsid w:val="0009263E"/>
    <w:rsid w:val="00096F8F"/>
    <w:rsid w:val="000A1D6A"/>
    <w:rsid w:val="000A54DE"/>
    <w:rsid w:val="000A6F18"/>
    <w:rsid w:val="000C0F7F"/>
    <w:rsid w:val="000C1E0E"/>
    <w:rsid w:val="000C4807"/>
    <w:rsid w:val="000C54C6"/>
    <w:rsid w:val="000C574E"/>
    <w:rsid w:val="000D2BFC"/>
    <w:rsid w:val="000D3E2F"/>
    <w:rsid w:val="000E2815"/>
    <w:rsid w:val="000E403D"/>
    <w:rsid w:val="000E56FA"/>
    <w:rsid w:val="000E7048"/>
    <w:rsid w:val="000E7C8A"/>
    <w:rsid w:val="000F08D7"/>
    <w:rsid w:val="000F6177"/>
    <w:rsid w:val="000F695B"/>
    <w:rsid w:val="000F752B"/>
    <w:rsid w:val="000F7DB1"/>
    <w:rsid w:val="0010069B"/>
    <w:rsid w:val="00101160"/>
    <w:rsid w:val="00102543"/>
    <w:rsid w:val="0010573F"/>
    <w:rsid w:val="001073E7"/>
    <w:rsid w:val="001077F0"/>
    <w:rsid w:val="001126C5"/>
    <w:rsid w:val="00112887"/>
    <w:rsid w:val="00112B0B"/>
    <w:rsid w:val="001159FD"/>
    <w:rsid w:val="00115C9F"/>
    <w:rsid w:val="00116850"/>
    <w:rsid w:val="00117716"/>
    <w:rsid w:val="00117A06"/>
    <w:rsid w:val="00121CC5"/>
    <w:rsid w:val="00122528"/>
    <w:rsid w:val="00124857"/>
    <w:rsid w:val="00126BFB"/>
    <w:rsid w:val="00131399"/>
    <w:rsid w:val="00133F44"/>
    <w:rsid w:val="00136FD6"/>
    <w:rsid w:val="0013780A"/>
    <w:rsid w:val="00141A81"/>
    <w:rsid w:val="00142075"/>
    <w:rsid w:val="0014360E"/>
    <w:rsid w:val="00145903"/>
    <w:rsid w:val="001459DC"/>
    <w:rsid w:val="001574AA"/>
    <w:rsid w:val="00160EA8"/>
    <w:rsid w:val="00162F2C"/>
    <w:rsid w:val="00167514"/>
    <w:rsid w:val="00170244"/>
    <w:rsid w:val="0017257F"/>
    <w:rsid w:val="00173427"/>
    <w:rsid w:val="00173844"/>
    <w:rsid w:val="00174FFD"/>
    <w:rsid w:val="00175E23"/>
    <w:rsid w:val="00176860"/>
    <w:rsid w:val="001817F2"/>
    <w:rsid w:val="001860BD"/>
    <w:rsid w:val="001952CC"/>
    <w:rsid w:val="001965AC"/>
    <w:rsid w:val="001A645B"/>
    <w:rsid w:val="001B3236"/>
    <w:rsid w:val="001B6188"/>
    <w:rsid w:val="001B66CE"/>
    <w:rsid w:val="001B7639"/>
    <w:rsid w:val="001C0360"/>
    <w:rsid w:val="001C11EC"/>
    <w:rsid w:val="001C39E8"/>
    <w:rsid w:val="001D0FE9"/>
    <w:rsid w:val="001D4FD3"/>
    <w:rsid w:val="001E2AD1"/>
    <w:rsid w:val="001F2694"/>
    <w:rsid w:val="001F377D"/>
    <w:rsid w:val="001F597B"/>
    <w:rsid w:val="001F5C27"/>
    <w:rsid w:val="00200626"/>
    <w:rsid w:val="002042C8"/>
    <w:rsid w:val="0020511E"/>
    <w:rsid w:val="00206828"/>
    <w:rsid w:val="002104D4"/>
    <w:rsid w:val="0021152F"/>
    <w:rsid w:val="00213010"/>
    <w:rsid w:val="00213807"/>
    <w:rsid w:val="0021658A"/>
    <w:rsid w:val="00222186"/>
    <w:rsid w:val="00224DCB"/>
    <w:rsid w:val="00227D32"/>
    <w:rsid w:val="002346DE"/>
    <w:rsid w:val="00235149"/>
    <w:rsid w:val="0023653C"/>
    <w:rsid w:val="002378C6"/>
    <w:rsid w:val="00237F83"/>
    <w:rsid w:val="0024601A"/>
    <w:rsid w:val="00247BAB"/>
    <w:rsid w:val="00247F7E"/>
    <w:rsid w:val="00252272"/>
    <w:rsid w:val="00253B7B"/>
    <w:rsid w:val="00254400"/>
    <w:rsid w:val="00261D47"/>
    <w:rsid w:val="00263747"/>
    <w:rsid w:val="00272D55"/>
    <w:rsid w:val="002748ED"/>
    <w:rsid w:val="00277C0F"/>
    <w:rsid w:val="0028227A"/>
    <w:rsid w:val="00282945"/>
    <w:rsid w:val="00283397"/>
    <w:rsid w:val="00284C12"/>
    <w:rsid w:val="00290122"/>
    <w:rsid w:val="00290779"/>
    <w:rsid w:val="00290E16"/>
    <w:rsid w:val="0029211A"/>
    <w:rsid w:val="00294239"/>
    <w:rsid w:val="00294498"/>
    <w:rsid w:val="002945D3"/>
    <w:rsid w:val="002977B2"/>
    <w:rsid w:val="002A149C"/>
    <w:rsid w:val="002A2679"/>
    <w:rsid w:val="002A2801"/>
    <w:rsid w:val="002B2037"/>
    <w:rsid w:val="002B68B4"/>
    <w:rsid w:val="002B7F66"/>
    <w:rsid w:val="002C0389"/>
    <w:rsid w:val="002C34A4"/>
    <w:rsid w:val="002C4D32"/>
    <w:rsid w:val="002C56D4"/>
    <w:rsid w:val="002C6D9C"/>
    <w:rsid w:val="002C6ECD"/>
    <w:rsid w:val="002D054D"/>
    <w:rsid w:val="002D08A5"/>
    <w:rsid w:val="002D15D6"/>
    <w:rsid w:val="002D22C0"/>
    <w:rsid w:val="002D3D3B"/>
    <w:rsid w:val="002D44E9"/>
    <w:rsid w:val="002D4DFE"/>
    <w:rsid w:val="002D630D"/>
    <w:rsid w:val="002D6392"/>
    <w:rsid w:val="002E1149"/>
    <w:rsid w:val="002E22FC"/>
    <w:rsid w:val="002E2398"/>
    <w:rsid w:val="002E4122"/>
    <w:rsid w:val="002E4892"/>
    <w:rsid w:val="002E4CB8"/>
    <w:rsid w:val="002E6265"/>
    <w:rsid w:val="002F1421"/>
    <w:rsid w:val="002F1A78"/>
    <w:rsid w:val="002F24F1"/>
    <w:rsid w:val="002F3288"/>
    <w:rsid w:val="002F439F"/>
    <w:rsid w:val="003015A6"/>
    <w:rsid w:val="00301B41"/>
    <w:rsid w:val="00303E8F"/>
    <w:rsid w:val="00304CCE"/>
    <w:rsid w:val="00304FD5"/>
    <w:rsid w:val="00305FE4"/>
    <w:rsid w:val="003064AA"/>
    <w:rsid w:val="003068E8"/>
    <w:rsid w:val="0031006B"/>
    <w:rsid w:val="00310AE7"/>
    <w:rsid w:val="00314BFF"/>
    <w:rsid w:val="0031590E"/>
    <w:rsid w:val="00331412"/>
    <w:rsid w:val="003315CD"/>
    <w:rsid w:val="0033162F"/>
    <w:rsid w:val="00332573"/>
    <w:rsid w:val="003328E3"/>
    <w:rsid w:val="00337C70"/>
    <w:rsid w:val="00340640"/>
    <w:rsid w:val="00340AD7"/>
    <w:rsid w:val="0034295B"/>
    <w:rsid w:val="003435E1"/>
    <w:rsid w:val="00344410"/>
    <w:rsid w:val="00344D38"/>
    <w:rsid w:val="00345814"/>
    <w:rsid w:val="00351946"/>
    <w:rsid w:val="00352668"/>
    <w:rsid w:val="0035416D"/>
    <w:rsid w:val="003561BC"/>
    <w:rsid w:val="00356A04"/>
    <w:rsid w:val="003614C7"/>
    <w:rsid w:val="00361803"/>
    <w:rsid w:val="00362D66"/>
    <w:rsid w:val="00371497"/>
    <w:rsid w:val="00371C29"/>
    <w:rsid w:val="003729E6"/>
    <w:rsid w:val="00375297"/>
    <w:rsid w:val="003759FF"/>
    <w:rsid w:val="00377A03"/>
    <w:rsid w:val="0038227D"/>
    <w:rsid w:val="003871D3"/>
    <w:rsid w:val="00387488"/>
    <w:rsid w:val="0038796E"/>
    <w:rsid w:val="00391A4E"/>
    <w:rsid w:val="00391BCF"/>
    <w:rsid w:val="00392304"/>
    <w:rsid w:val="003931CA"/>
    <w:rsid w:val="00394A5F"/>
    <w:rsid w:val="00397054"/>
    <w:rsid w:val="003A1761"/>
    <w:rsid w:val="003A1CB2"/>
    <w:rsid w:val="003A3194"/>
    <w:rsid w:val="003A3388"/>
    <w:rsid w:val="003A5F5F"/>
    <w:rsid w:val="003A6EC9"/>
    <w:rsid w:val="003A7ADB"/>
    <w:rsid w:val="003B1EB8"/>
    <w:rsid w:val="003B65D7"/>
    <w:rsid w:val="003C5119"/>
    <w:rsid w:val="003D1D0B"/>
    <w:rsid w:val="003D2BA5"/>
    <w:rsid w:val="003D4297"/>
    <w:rsid w:val="003D455E"/>
    <w:rsid w:val="003E109C"/>
    <w:rsid w:val="003E32CE"/>
    <w:rsid w:val="003E41B4"/>
    <w:rsid w:val="003E4580"/>
    <w:rsid w:val="003E783A"/>
    <w:rsid w:val="003F09AB"/>
    <w:rsid w:val="003F40DA"/>
    <w:rsid w:val="003F5B5E"/>
    <w:rsid w:val="003F5FCC"/>
    <w:rsid w:val="003F784E"/>
    <w:rsid w:val="00400EA8"/>
    <w:rsid w:val="004011F0"/>
    <w:rsid w:val="004037F6"/>
    <w:rsid w:val="0040410A"/>
    <w:rsid w:val="004067B2"/>
    <w:rsid w:val="00410D06"/>
    <w:rsid w:val="004129E2"/>
    <w:rsid w:val="00420CB8"/>
    <w:rsid w:val="004215FE"/>
    <w:rsid w:val="00422BD0"/>
    <w:rsid w:val="00425C79"/>
    <w:rsid w:val="00431EC3"/>
    <w:rsid w:val="00432B1D"/>
    <w:rsid w:val="004344E1"/>
    <w:rsid w:val="004431AA"/>
    <w:rsid w:val="0044479D"/>
    <w:rsid w:val="004479AD"/>
    <w:rsid w:val="00453BBC"/>
    <w:rsid w:val="0046038D"/>
    <w:rsid w:val="00463FF2"/>
    <w:rsid w:val="004648C8"/>
    <w:rsid w:val="004661FE"/>
    <w:rsid w:val="00466FC3"/>
    <w:rsid w:val="00470FDC"/>
    <w:rsid w:val="004712FD"/>
    <w:rsid w:val="0047437A"/>
    <w:rsid w:val="00480DAA"/>
    <w:rsid w:val="0048114F"/>
    <w:rsid w:val="0048206A"/>
    <w:rsid w:val="00483770"/>
    <w:rsid w:val="004866E9"/>
    <w:rsid w:val="00487A24"/>
    <w:rsid w:val="00490938"/>
    <w:rsid w:val="004955AA"/>
    <w:rsid w:val="00496FB2"/>
    <w:rsid w:val="004B29A2"/>
    <w:rsid w:val="004B3006"/>
    <w:rsid w:val="004B4275"/>
    <w:rsid w:val="004B4805"/>
    <w:rsid w:val="004B5CF6"/>
    <w:rsid w:val="004C030A"/>
    <w:rsid w:val="004C0D66"/>
    <w:rsid w:val="004C152A"/>
    <w:rsid w:val="004C1EC6"/>
    <w:rsid w:val="004C386F"/>
    <w:rsid w:val="004C73CB"/>
    <w:rsid w:val="004D0E86"/>
    <w:rsid w:val="004D3319"/>
    <w:rsid w:val="004D45A8"/>
    <w:rsid w:val="004D61AC"/>
    <w:rsid w:val="004E214A"/>
    <w:rsid w:val="004E2ACE"/>
    <w:rsid w:val="004E777D"/>
    <w:rsid w:val="004F06BC"/>
    <w:rsid w:val="004F3290"/>
    <w:rsid w:val="004F3970"/>
    <w:rsid w:val="004F43C6"/>
    <w:rsid w:val="004F4495"/>
    <w:rsid w:val="004F46E3"/>
    <w:rsid w:val="004F70F7"/>
    <w:rsid w:val="00502989"/>
    <w:rsid w:val="0050484D"/>
    <w:rsid w:val="00504C77"/>
    <w:rsid w:val="005100D6"/>
    <w:rsid w:val="0051493D"/>
    <w:rsid w:val="00514FA2"/>
    <w:rsid w:val="00517DE9"/>
    <w:rsid w:val="00520F72"/>
    <w:rsid w:val="005211E2"/>
    <w:rsid w:val="00523137"/>
    <w:rsid w:val="0052406B"/>
    <w:rsid w:val="0052483B"/>
    <w:rsid w:val="00525882"/>
    <w:rsid w:val="005315EA"/>
    <w:rsid w:val="005345F2"/>
    <w:rsid w:val="00535384"/>
    <w:rsid w:val="00536155"/>
    <w:rsid w:val="00537A1A"/>
    <w:rsid w:val="0054073A"/>
    <w:rsid w:val="00540794"/>
    <w:rsid w:val="00541670"/>
    <w:rsid w:val="00543515"/>
    <w:rsid w:val="00543EE4"/>
    <w:rsid w:val="00547FB9"/>
    <w:rsid w:val="00550834"/>
    <w:rsid w:val="00551C5D"/>
    <w:rsid w:val="00552AF6"/>
    <w:rsid w:val="00553053"/>
    <w:rsid w:val="00555924"/>
    <w:rsid w:val="0055659E"/>
    <w:rsid w:val="00561F9A"/>
    <w:rsid w:val="00566BB8"/>
    <w:rsid w:val="00567CE3"/>
    <w:rsid w:val="00572A87"/>
    <w:rsid w:val="00572AF7"/>
    <w:rsid w:val="0057568B"/>
    <w:rsid w:val="00576D6A"/>
    <w:rsid w:val="00580162"/>
    <w:rsid w:val="0058020A"/>
    <w:rsid w:val="00580967"/>
    <w:rsid w:val="00580E92"/>
    <w:rsid w:val="00582D76"/>
    <w:rsid w:val="0058339E"/>
    <w:rsid w:val="00584B97"/>
    <w:rsid w:val="00585F1F"/>
    <w:rsid w:val="00586716"/>
    <w:rsid w:val="005932E1"/>
    <w:rsid w:val="00595A26"/>
    <w:rsid w:val="005961DB"/>
    <w:rsid w:val="005A11D8"/>
    <w:rsid w:val="005A18E4"/>
    <w:rsid w:val="005A31AB"/>
    <w:rsid w:val="005A49D2"/>
    <w:rsid w:val="005A58E4"/>
    <w:rsid w:val="005A5D55"/>
    <w:rsid w:val="005A5E8A"/>
    <w:rsid w:val="005A62A1"/>
    <w:rsid w:val="005A7D37"/>
    <w:rsid w:val="005B44B4"/>
    <w:rsid w:val="005B5E19"/>
    <w:rsid w:val="005B708C"/>
    <w:rsid w:val="005B70C0"/>
    <w:rsid w:val="005C09A9"/>
    <w:rsid w:val="005C0D47"/>
    <w:rsid w:val="005C0E00"/>
    <w:rsid w:val="005C3569"/>
    <w:rsid w:val="005C468D"/>
    <w:rsid w:val="005C479E"/>
    <w:rsid w:val="005C61C7"/>
    <w:rsid w:val="005C7E00"/>
    <w:rsid w:val="005C7E6E"/>
    <w:rsid w:val="005D1982"/>
    <w:rsid w:val="005D4BAF"/>
    <w:rsid w:val="005D4F3E"/>
    <w:rsid w:val="005D5B18"/>
    <w:rsid w:val="005D73FF"/>
    <w:rsid w:val="005D7E86"/>
    <w:rsid w:val="005E00EB"/>
    <w:rsid w:val="005E4295"/>
    <w:rsid w:val="005E47D5"/>
    <w:rsid w:val="005E6AB8"/>
    <w:rsid w:val="005E6CD7"/>
    <w:rsid w:val="005E7B4E"/>
    <w:rsid w:val="005F10CB"/>
    <w:rsid w:val="005F1FA4"/>
    <w:rsid w:val="005F2215"/>
    <w:rsid w:val="005F3478"/>
    <w:rsid w:val="005F4CA6"/>
    <w:rsid w:val="00605BD0"/>
    <w:rsid w:val="006129C8"/>
    <w:rsid w:val="00612BD6"/>
    <w:rsid w:val="006142AD"/>
    <w:rsid w:val="0062084E"/>
    <w:rsid w:val="006222F4"/>
    <w:rsid w:val="00626332"/>
    <w:rsid w:val="006277B0"/>
    <w:rsid w:val="00630524"/>
    <w:rsid w:val="00634C93"/>
    <w:rsid w:val="00635DCF"/>
    <w:rsid w:val="00636CA5"/>
    <w:rsid w:val="00636F06"/>
    <w:rsid w:val="00641B9E"/>
    <w:rsid w:val="00643AFF"/>
    <w:rsid w:val="006449CC"/>
    <w:rsid w:val="00645856"/>
    <w:rsid w:val="00647AE8"/>
    <w:rsid w:val="00647D38"/>
    <w:rsid w:val="006513B0"/>
    <w:rsid w:val="00651B94"/>
    <w:rsid w:val="00652DEF"/>
    <w:rsid w:val="006538B7"/>
    <w:rsid w:val="006555E6"/>
    <w:rsid w:val="00656C1F"/>
    <w:rsid w:val="00660DB0"/>
    <w:rsid w:val="006621DE"/>
    <w:rsid w:val="00662809"/>
    <w:rsid w:val="006628D0"/>
    <w:rsid w:val="00664536"/>
    <w:rsid w:val="006663E4"/>
    <w:rsid w:val="00671378"/>
    <w:rsid w:val="00675AA6"/>
    <w:rsid w:val="00677512"/>
    <w:rsid w:val="00677D3E"/>
    <w:rsid w:val="006821A9"/>
    <w:rsid w:val="00685A03"/>
    <w:rsid w:val="00685E5D"/>
    <w:rsid w:val="00686C2A"/>
    <w:rsid w:val="006905AB"/>
    <w:rsid w:val="00691EAF"/>
    <w:rsid w:val="006928C8"/>
    <w:rsid w:val="00692AA5"/>
    <w:rsid w:val="006940E4"/>
    <w:rsid w:val="00697D16"/>
    <w:rsid w:val="006A0F30"/>
    <w:rsid w:val="006A1792"/>
    <w:rsid w:val="006A33EF"/>
    <w:rsid w:val="006A48DC"/>
    <w:rsid w:val="006A4AAA"/>
    <w:rsid w:val="006A5ABE"/>
    <w:rsid w:val="006A68A1"/>
    <w:rsid w:val="006A7007"/>
    <w:rsid w:val="006A7418"/>
    <w:rsid w:val="006A7F7E"/>
    <w:rsid w:val="006C138D"/>
    <w:rsid w:val="006C5D99"/>
    <w:rsid w:val="006C7C96"/>
    <w:rsid w:val="006D089D"/>
    <w:rsid w:val="006D3061"/>
    <w:rsid w:val="006D43EF"/>
    <w:rsid w:val="006D52AC"/>
    <w:rsid w:val="006D6AA7"/>
    <w:rsid w:val="006E531C"/>
    <w:rsid w:val="006E63E3"/>
    <w:rsid w:val="006F0CC3"/>
    <w:rsid w:val="006F12C4"/>
    <w:rsid w:val="006F229B"/>
    <w:rsid w:val="006F2526"/>
    <w:rsid w:val="006F46D2"/>
    <w:rsid w:val="006F4CAA"/>
    <w:rsid w:val="006F5196"/>
    <w:rsid w:val="006F691E"/>
    <w:rsid w:val="0070099D"/>
    <w:rsid w:val="00700EAF"/>
    <w:rsid w:val="00703367"/>
    <w:rsid w:val="0070492D"/>
    <w:rsid w:val="0070494A"/>
    <w:rsid w:val="0071145E"/>
    <w:rsid w:val="00712D32"/>
    <w:rsid w:val="00717F0D"/>
    <w:rsid w:val="007255FA"/>
    <w:rsid w:val="0072606A"/>
    <w:rsid w:val="00726B5C"/>
    <w:rsid w:val="0073754B"/>
    <w:rsid w:val="0074082C"/>
    <w:rsid w:val="007415B3"/>
    <w:rsid w:val="0074483F"/>
    <w:rsid w:val="007553A7"/>
    <w:rsid w:val="0075559A"/>
    <w:rsid w:val="00757B00"/>
    <w:rsid w:val="0076101A"/>
    <w:rsid w:val="0076120B"/>
    <w:rsid w:val="007612F9"/>
    <w:rsid w:val="00761670"/>
    <w:rsid w:val="00761D43"/>
    <w:rsid w:val="007620C5"/>
    <w:rsid w:val="00763901"/>
    <w:rsid w:val="00763923"/>
    <w:rsid w:val="007660F3"/>
    <w:rsid w:val="007666B5"/>
    <w:rsid w:val="00767AF7"/>
    <w:rsid w:val="00767D8F"/>
    <w:rsid w:val="007760D0"/>
    <w:rsid w:val="007764C5"/>
    <w:rsid w:val="00776DDA"/>
    <w:rsid w:val="007814D1"/>
    <w:rsid w:val="00781D09"/>
    <w:rsid w:val="00782517"/>
    <w:rsid w:val="00785AC0"/>
    <w:rsid w:val="00786B9F"/>
    <w:rsid w:val="00786DC8"/>
    <w:rsid w:val="00787067"/>
    <w:rsid w:val="00787422"/>
    <w:rsid w:val="00787C77"/>
    <w:rsid w:val="007910DC"/>
    <w:rsid w:val="007921C0"/>
    <w:rsid w:val="00792F3B"/>
    <w:rsid w:val="007932D9"/>
    <w:rsid w:val="00795E8F"/>
    <w:rsid w:val="00797521"/>
    <w:rsid w:val="007A2C06"/>
    <w:rsid w:val="007A698E"/>
    <w:rsid w:val="007A6F6E"/>
    <w:rsid w:val="007A7521"/>
    <w:rsid w:val="007A75E6"/>
    <w:rsid w:val="007B3B75"/>
    <w:rsid w:val="007B4C29"/>
    <w:rsid w:val="007B53D4"/>
    <w:rsid w:val="007B6F46"/>
    <w:rsid w:val="007B7024"/>
    <w:rsid w:val="007B7757"/>
    <w:rsid w:val="007C282C"/>
    <w:rsid w:val="007C4950"/>
    <w:rsid w:val="007C4CE3"/>
    <w:rsid w:val="007C5B2F"/>
    <w:rsid w:val="007C7493"/>
    <w:rsid w:val="007D1D27"/>
    <w:rsid w:val="007D30D1"/>
    <w:rsid w:val="007D41B2"/>
    <w:rsid w:val="007D57C8"/>
    <w:rsid w:val="007D6454"/>
    <w:rsid w:val="007D6C44"/>
    <w:rsid w:val="007E04C2"/>
    <w:rsid w:val="007E4AA2"/>
    <w:rsid w:val="007E59A0"/>
    <w:rsid w:val="007E650B"/>
    <w:rsid w:val="007F0D35"/>
    <w:rsid w:val="007F3C30"/>
    <w:rsid w:val="007F4366"/>
    <w:rsid w:val="007F4941"/>
    <w:rsid w:val="007F660E"/>
    <w:rsid w:val="007F7DAD"/>
    <w:rsid w:val="00801376"/>
    <w:rsid w:val="008030F7"/>
    <w:rsid w:val="00803651"/>
    <w:rsid w:val="00803892"/>
    <w:rsid w:val="008045D7"/>
    <w:rsid w:val="008077B8"/>
    <w:rsid w:val="00812AEE"/>
    <w:rsid w:val="00813AF6"/>
    <w:rsid w:val="00813C02"/>
    <w:rsid w:val="00817B9E"/>
    <w:rsid w:val="00820045"/>
    <w:rsid w:val="00823CFC"/>
    <w:rsid w:val="00826041"/>
    <w:rsid w:val="00826150"/>
    <w:rsid w:val="0082651B"/>
    <w:rsid w:val="008301BF"/>
    <w:rsid w:val="008325D7"/>
    <w:rsid w:val="008352D0"/>
    <w:rsid w:val="008431C5"/>
    <w:rsid w:val="008436D9"/>
    <w:rsid w:val="008438CE"/>
    <w:rsid w:val="00846B64"/>
    <w:rsid w:val="00850E48"/>
    <w:rsid w:val="0085143C"/>
    <w:rsid w:val="00851918"/>
    <w:rsid w:val="00851C3B"/>
    <w:rsid w:val="00855205"/>
    <w:rsid w:val="008552F2"/>
    <w:rsid w:val="00855A7A"/>
    <w:rsid w:val="0086177F"/>
    <w:rsid w:val="00862485"/>
    <w:rsid w:val="008635D0"/>
    <w:rsid w:val="00863B19"/>
    <w:rsid w:val="00865B13"/>
    <w:rsid w:val="008727FB"/>
    <w:rsid w:val="00872F44"/>
    <w:rsid w:val="00880E66"/>
    <w:rsid w:val="008815F5"/>
    <w:rsid w:val="008835F7"/>
    <w:rsid w:val="00885C4A"/>
    <w:rsid w:val="00885EFC"/>
    <w:rsid w:val="00886D62"/>
    <w:rsid w:val="008876A5"/>
    <w:rsid w:val="0089021A"/>
    <w:rsid w:val="00891643"/>
    <w:rsid w:val="00896564"/>
    <w:rsid w:val="008967AF"/>
    <w:rsid w:val="00896E08"/>
    <w:rsid w:val="008A27EC"/>
    <w:rsid w:val="008A58D4"/>
    <w:rsid w:val="008A752F"/>
    <w:rsid w:val="008A79C0"/>
    <w:rsid w:val="008B6FF8"/>
    <w:rsid w:val="008B7286"/>
    <w:rsid w:val="008B7E6A"/>
    <w:rsid w:val="008C79D4"/>
    <w:rsid w:val="008D053E"/>
    <w:rsid w:val="008D07C3"/>
    <w:rsid w:val="008D3C3E"/>
    <w:rsid w:val="008D3D7B"/>
    <w:rsid w:val="008D49ED"/>
    <w:rsid w:val="008D7B20"/>
    <w:rsid w:val="008E09F2"/>
    <w:rsid w:val="008F177D"/>
    <w:rsid w:val="008F1BF8"/>
    <w:rsid w:val="008F1F06"/>
    <w:rsid w:val="008F2700"/>
    <w:rsid w:val="008F2EC5"/>
    <w:rsid w:val="008F4503"/>
    <w:rsid w:val="008F7722"/>
    <w:rsid w:val="008F779C"/>
    <w:rsid w:val="008F7980"/>
    <w:rsid w:val="0090022C"/>
    <w:rsid w:val="0090527C"/>
    <w:rsid w:val="00907345"/>
    <w:rsid w:val="00907FD9"/>
    <w:rsid w:val="0091002F"/>
    <w:rsid w:val="00910E01"/>
    <w:rsid w:val="009161D3"/>
    <w:rsid w:val="00916CAB"/>
    <w:rsid w:val="00922D96"/>
    <w:rsid w:val="0092693B"/>
    <w:rsid w:val="00926BA7"/>
    <w:rsid w:val="00930441"/>
    <w:rsid w:val="0093588D"/>
    <w:rsid w:val="00936334"/>
    <w:rsid w:val="009411E4"/>
    <w:rsid w:val="0094208B"/>
    <w:rsid w:val="00942BDB"/>
    <w:rsid w:val="00943112"/>
    <w:rsid w:val="00943975"/>
    <w:rsid w:val="00944F36"/>
    <w:rsid w:val="00945A52"/>
    <w:rsid w:val="00946217"/>
    <w:rsid w:val="00946832"/>
    <w:rsid w:val="00950D8B"/>
    <w:rsid w:val="00952EB6"/>
    <w:rsid w:val="009560C5"/>
    <w:rsid w:val="00956563"/>
    <w:rsid w:val="00957AC1"/>
    <w:rsid w:val="00957FDE"/>
    <w:rsid w:val="0096446B"/>
    <w:rsid w:val="00964671"/>
    <w:rsid w:val="00973504"/>
    <w:rsid w:val="00973531"/>
    <w:rsid w:val="00973E3B"/>
    <w:rsid w:val="0098027F"/>
    <w:rsid w:val="00980F4E"/>
    <w:rsid w:val="009825BC"/>
    <w:rsid w:val="00982F9B"/>
    <w:rsid w:val="00982FBA"/>
    <w:rsid w:val="00983EA6"/>
    <w:rsid w:val="00984BE0"/>
    <w:rsid w:val="00985E83"/>
    <w:rsid w:val="009864AA"/>
    <w:rsid w:val="00986D39"/>
    <w:rsid w:val="0098752B"/>
    <w:rsid w:val="00994C37"/>
    <w:rsid w:val="009A017E"/>
    <w:rsid w:val="009A4F16"/>
    <w:rsid w:val="009A606D"/>
    <w:rsid w:val="009A6884"/>
    <w:rsid w:val="009A7225"/>
    <w:rsid w:val="009A7B35"/>
    <w:rsid w:val="009B2372"/>
    <w:rsid w:val="009B32AB"/>
    <w:rsid w:val="009B56A5"/>
    <w:rsid w:val="009B58D7"/>
    <w:rsid w:val="009C2D89"/>
    <w:rsid w:val="009C39A3"/>
    <w:rsid w:val="009C761D"/>
    <w:rsid w:val="009C78DB"/>
    <w:rsid w:val="009D3082"/>
    <w:rsid w:val="009D5DFF"/>
    <w:rsid w:val="009E2A90"/>
    <w:rsid w:val="009E323B"/>
    <w:rsid w:val="009F0209"/>
    <w:rsid w:val="009F042B"/>
    <w:rsid w:val="009F0CD6"/>
    <w:rsid w:val="009F2C02"/>
    <w:rsid w:val="009F3740"/>
    <w:rsid w:val="009F4001"/>
    <w:rsid w:val="009F48BD"/>
    <w:rsid w:val="009F5ACB"/>
    <w:rsid w:val="009F5C2B"/>
    <w:rsid w:val="009F5C48"/>
    <w:rsid w:val="009F6F30"/>
    <w:rsid w:val="00A01984"/>
    <w:rsid w:val="00A01C95"/>
    <w:rsid w:val="00A03558"/>
    <w:rsid w:val="00A041F6"/>
    <w:rsid w:val="00A10033"/>
    <w:rsid w:val="00A14D19"/>
    <w:rsid w:val="00A22B8D"/>
    <w:rsid w:val="00A26AFB"/>
    <w:rsid w:val="00A32EBA"/>
    <w:rsid w:val="00A37393"/>
    <w:rsid w:val="00A37B67"/>
    <w:rsid w:val="00A436A3"/>
    <w:rsid w:val="00A45D09"/>
    <w:rsid w:val="00A45E05"/>
    <w:rsid w:val="00A469CC"/>
    <w:rsid w:val="00A46D81"/>
    <w:rsid w:val="00A50711"/>
    <w:rsid w:val="00A50AC3"/>
    <w:rsid w:val="00A527DF"/>
    <w:rsid w:val="00A56B8C"/>
    <w:rsid w:val="00A61034"/>
    <w:rsid w:val="00A6351C"/>
    <w:rsid w:val="00A71058"/>
    <w:rsid w:val="00A74896"/>
    <w:rsid w:val="00A764D8"/>
    <w:rsid w:val="00A827E7"/>
    <w:rsid w:val="00A82851"/>
    <w:rsid w:val="00A872B4"/>
    <w:rsid w:val="00A928A7"/>
    <w:rsid w:val="00A93307"/>
    <w:rsid w:val="00A96A67"/>
    <w:rsid w:val="00AA3DD4"/>
    <w:rsid w:val="00AB131C"/>
    <w:rsid w:val="00AB1755"/>
    <w:rsid w:val="00AB2997"/>
    <w:rsid w:val="00AB4B9B"/>
    <w:rsid w:val="00AC1DED"/>
    <w:rsid w:val="00AC1E22"/>
    <w:rsid w:val="00AC79E5"/>
    <w:rsid w:val="00AD1387"/>
    <w:rsid w:val="00AD5263"/>
    <w:rsid w:val="00AD5473"/>
    <w:rsid w:val="00AD6488"/>
    <w:rsid w:val="00AD7A5E"/>
    <w:rsid w:val="00AE14E0"/>
    <w:rsid w:val="00AE1A76"/>
    <w:rsid w:val="00AE23CD"/>
    <w:rsid w:val="00AE37E2"/>
    <w:rsid w:val="00AE5FFB"/>
    <w:rsid w:val="00AE7123"/>
    <w:rsid w:val="00AF0291"/>
    <w:rsid w:val="00AF4649"/>
    <w:rsid w:val="00AF534F"/>
    <w:rsid w:val="00AF6AF5"/>
    <w:rsid w:val="00AF78DA"/>
    <w:rsid w:val="00AF7F94"/>
    <w:rsid w:val="00B009F9"/>
    <w:rsid w:val="00B010CD"/>
    <w:rsid w:val="00B01F1D"/>
    <w:rsid w:val="00B04048"/>
    <w:rsid w:val="00B05B51"/>
    <w:rsid w:val="00B05D5D"/>
    <w:rsid w:val="00B05D9C"/>
    <w:rsid w:val="00B06960"/>
    <w:rsid w:val="00B10289"/>
    <w:rsid w:val="00B11A93"/>
    <w:rsid w:val="00B12069"/>
    <w:rsid w:val="00B17C9C"/>
    <w:rsid w:val="00B21E64"/>
    <w:rsid w:val="00B22C06"/>
    <w:rsid w:val="00B278B2"/>
    <w:rsid w:val="00B31709"/>
    <w:rsid w:val="00B3340D"/>
    <w:rsid w:val="00B33769"/>
    <w:rsid w:val="00B33B4C"/>
    <w:rsid w:val="00B3677F"/>
    <w:rsid w:val="00B402EF"/>
    <w:rsid w:val="00B40F53"/>
    <w:rsid w:val="00B4156E"/>
    <w:rsid w:val="00B4289B"/>
    <w:rsid w:val="00B437CA"/>
    <w:rsid w:val="00B46853"/>
    <w:rsid w:val="00B53288"/>
    <w:rsid w:val="00B55F9E"/>
    <w:rsid w:val="00B563E2"/>
    <w:rsid w:val="00B615F3"/>
    <w:rsid w:val="00B62ECA"/>
    <w:rsid w:val="00B6330D"/>
    <w:rsid w:val="00B64C2C"/>
    <w:rsid w:val="00B64F2F"/>
    <w:rsid w:val="00B662C1"/>
    <w:rsid w:val="00B66F31"/>
    <w:rsid w:val="00B67F44"/>
    <w:rsid w:val="00B70F12"/>
    <w:rsid w:val="00B75D9E"/>
    <w:rsid w:val="00B81354"/>
    <w:rsid w:val="00B81890"/>
    <w:rsid w:val="00B85418"/>
    <w:rsid w:val="00B858B3"/>
    <w:rsid w:val="00B90485"/>
    <w:rsid w:val="00B926B4"/>
    <w:rsid w:val="00B9393F"/>
    <w:rsid w:val="00B93C22"/>
    <w:rsid w:val="00B97B9A"/>
    <w:rsid w:val="00B97DE5"/>
    <w:rsid w:val="00BA056A"/>
    <w:rsid w:val="00BA05F4"/>
    <w:rsid w:val="00BA4F58"/>
    <w:rsid w:val="00BA758D"/>
    <w:rsid w:val="00BB5283"/>
    <w:rsid w:val="00BC46D3"/>
    <w:rsid w:val="00BC5461"/>
    <w:rsid w:val="00BD5165"/>
    <w:rsid w:val="00BD5489"/>
    <w:rsid w:val="00BE0C23"/>
    <w:rsid w:val="00BE1ACE"/>
    <w:rsid w:val="00BE2A62"/>
    <w:rsid w:val="00BF1473"/>
    <w:rsid w:val="00BF2ABC"/>
    <w:rsid w:val="00BF4102"/>
    <w:rsid w:val="00BF4461"/>
    <w:rsid w:val="00BF62B6"/>
    <w:rsid w:val="00BF753A"/>
    <w:rsid w:val="00C00A8C"/>
    <w:rsid w:val="00C03FFA"/>
    <w:rsid w:val="00C054B0"/>
    <w:rsid w:val="00C07B25"/>
    <w:rsid w:val="00C11821"/>
    <w:rsid w:val="00C147B6"/>
    <w:rsid w:val="00C1506E"/>
    <w:rsid w:val="00C227AE"/>
    <w:rsid w:val="00C22B1D"/>
    <w:rsid w:val="00C30D30"/>
    <w:rsid w:val="00C310AA"/>
    <w:rsid w:val="00C321BC"/>
    <w:rsid w:val="00C3330E"/>
    <w:rsid w:val="00C35E55"/>
    <w:rsid w:val="00C375C8"/>
    <w:rsid w:val="00C413A3"/>
    <w:rsid w:val="00C424F3"/>
    <w:rsid w:val="00C4277A"/>
    <w:rsid w:val="00C43D9C"/>
    <w:rsid w:val="00C45098"/>
    <w:rsid w:val="00C521A0"/>
    <w:rsid w:val="00C52C04"/>
    <w:rsid w:val="00C5467D"/>
    <w:rsid w:val="00C56535"/>
    <w:rsid w:val="00C5671C"/>
    <w:rsid w:val="00C57E3D"/>
    <w:rsid w:val="00C6024B"/>
    <w:rsid w:val="00C735DA"/>
    <w:rsid w:val="00C74C2A"/>
    <w:rsid w:val="00C761FF"/>
    <w:rsid w:val="00C813C3"/>
    <w:rsid w:val="00C84628"/>
    <w:rsid w:val="00C85F8A"/>
    <w:rsid w:val="00C87F7E"/>
    <w:rsid w:val="00C93E4F"/>
    <w:rsid w:val="00C968B3"/>
    <w:rsid w:val="00CA14A7"/>
    <w:rsid w:val="00CA2407"/>
    <w:rsid w:val="00CB3ACF"/>
    <w:rsid w:val="00CB58F6"/>
    <w:rsid w:val="00CB6771"/>
    <w:rsid w:val="00CC138A"/>
    <w:rsid w:val="00CC38C6"/>
    <w:rsid w:val="00CC4E89"/>
    <w:rsid w:val="00CC5DA0"/>
    <w:rsid w:val="00CC5F27"/>
    <w:rsid w:val="00CD1705"/>
    <w:rsid w:val="00CD19C5"/>
    <w:rsid w:val="00CD1A66"/>
    <w:rsid w:val="00CD21BC"/>
    <w:rsid w:val="00CD459E"/>
    <w:rsid w:val="00CD4F6D"/>
    <w:rsid w:val="00CD5845"/>
    <w:rsid w:val="00CD6E95"/>
    <w:rsid w:val="00CD70A0"/>
    <w:rsid w:val="00CD7760"/>
    <w:rsid w:val="00CE159A"/>
    <w:rsid w:val="00CE2AA7"/>
    <w:rsid w:val="00CE6843"/>
    <w:rsid w:val="00CE6DAB"/>
    <w:rsid w:val="00CE7751"/>
    <w:rsid w:val="00CF1286"/>
    <w:rsid w:val="00CF1A28"/>
    <w:rsid w:val="00CF6E07"/>
    <w:rsid w:val="00D000BC"/>
    <w:rsid w:val="00D029CD"/>
    <w:rsid w:val="00D031D4"/>
    <w:rsid w:val="00D0582B"/>
    <w:rsid w:val="00D06B9F"/>
    <w:rsid w:val="00D104EE"/>
    <w:rsid w:val="00D11E18"/>
    <w:rsid w:val="00D12A53"/>
    <w:rsid w:val="00D13F43"/>
    <w:rsid w:val="00D16F63"/>
    <w:rsid w:val="00D26131"/>
    <w:rsid w:val="00D3026A"/>
    <w:rsid w:val="00D33C92"/>
    <w:rsid w:val="00D34080"/>
    <w:rsid w:val="00D34472"/>
    <w:rsid w:val="00D353A4"/>
    <w:rsid w:val="00D37531"/>
    <w:rsid w:val="00D37F94"/>
    <w:rsid w:val="00D411B6"/>
    <w:rsid w:val="00D45C7D"/>
    <w:rsid w:val="00D45CC0"/>
    <w:rsid w:val="00D547FA"/>
    <w:rsid w:val="00D600E7"/>
    <w:rsid w:val="00D606E1"/>
    <w:rsid w:val="00D62A5B"/>
    <w:rsid w:val="00D62FA0"/>
    <w:rsid w:val="00D64E66"/>
    <w:rsid w:val="00D704ED"/>
    <w:rsid w:val="00D73272"/>
    <w:rsid w:val="00D73791"/>
    <w:rsid w:val="00D754D8"/>
    <w:rsid w:val="00D76467"/>
    <w:rsid w:val="00D76E38"/>
    <w:rsid w:val="00D775E4"/>
    <w:rsid w:val="00D84682"/>
    <w:rsid w:val="00D85B1E"/>
    <w:rsid w:val="00D87C42"/>
    <w:rsid w:val="00D91E14"/>
    <w:rsid w:val="00D92223"/>
    <w:rsid w:val="00D93E06"/>
    <w:rsid w:val="00D97870"/>
    <w:rsid w:val="00DA072C"/>
    <w:rsid w:val="00DA506E"/>
    <w:rsid w:val="00DA6092"/>
    <w:rsid w:val="00DA6F8C"/>
    <w:rsid w:val="00DA7233"/>
    <w:rsid w:val="00DB664D"/>
    <w:rsid w:val="00DC1109"/>
    <w:rsid w:val="00DC2BD2"/>
    <w:rsid w:val="00DC36D7"/>
    <w:rsid w:val="00DC6A58"/>
    <w:rsid w:val="00DD05B9"/>
    <w:rsid w:val="00DD17E8"/>
    <w:rsid w:val="00DD584E"/>
    <w:rsid w:val="00DD7A76"/>
    <w:rsid w:val="00DD7CAD"/>
    <w:rsid w:val="00DE02F1"/>
    <w:rsid w:val="00DE05FB"/>
    <w:rsid w:val="00DE0B15"/>
    <w:rsid w:val="00DE3272"/>
    <w:rsid w:val="00DE329E"/>
    <w:rsid w:val="00DE4E6A"/>
    <w:rsid w:val="00DE5773"/>
    <w:rsid w:val="00DF07AF"/>
    <w:rsid w:val="00DF0B38"/>
    <w:rsid w:val="00DF59AD"/>
    <w:rsid w:val="00DF6A91"/>
    <w:rsid w:val="00E01BE7"/>
    <w:rsid w:val="00E044A9"/>
    <w:rsid w:val="00E06251"/>
    <w:rsid w:val="00E0653C"/>
    <w:rsid w:val="00E11F10"/>
    <w:rsid w:val="00E12B83"/>
    <w:rsid w:val="00E13B19"/>
    <w:rsid w:val="00E14131"/>
    <w:rsid w:val="00E23AA5"/>
    <w:rsid w:val="00E26007"/>
    <w:rsid w:val="00E2656C"/>
    <w:rsid w:val="00E346BC"/>
    <w:rsid w:val="00E346E6"/>
    <w:rsid w:val="00E34F09"/>
    <w:rsid w:val="00E41BA2"/>
    <w:rsid w:val="00E41FE9"/>
    <w:rsid w:val="00E4413B"/>
    <w:rsid w:val="00E44413"/>
    <w:rsid w:val="00E4449E"/>
    <w:rsid w:val="00E4592D"/>
    <w:rsid w:val="00E51628"/>
    <w:rsid w:val="00E52A3E"/>
    <w:rsid w:val="00E53E1D"/>
    <w:rsid w:val="00E551E3"/>
    <w:rsid w:val="00E6038A"/>
    <w:rsid w:val="00E61281"/>
    <w:rsid w:val="00E63436"/>
    <w:rsid w:val="00E63821"/>
    <w:rsid w:val="00E663C3"/>
    <w:rsid w:val="00E704A2"/>
    <w:rsid w:val="00E7232C"/>
    <w:rsid w:val="00E754BA"/>
    <w:rsid w:val="00E763EB"/>
    <w:rsid w:val="00E7683A"/>
    <w:rsid w:val="00E83E62"/>
    <w:rsid w:val="00E84A41"/>
    <w:rsid w:val="00E91C61"/>
    <w:rsid w:val="00E91ED2"/>
    <w:rsid w:val="00E91F4C"/>
    <w:rsid w:val="00E93B43"/>
    <w:rsid w:val="00E95106"/>
    <w:rsid w:val="00E954FC"/>
    <w:rsid w:val="00E959DA"/>
    <w:rsid w:val="00EA04AA"/>
    <w:rsid w:val="00EA1B17"/>
    <w:rsid w:val="00EA25FD"/>
    <w:rsid w:val="00EA63BC"/>
    <w:rsid w:val="00EA6E75"/>
    <w:rsid w:val="00EB31CB"/>
    <w:rsid w:val="00EB39A1"/>
    <w:rsid w:val="00EC2152"/>
    <w:rsid w:val="00EC65BA"/>
    <w:rsid w:val="00EC6D06"/>
    <w:rsid w:val="00EC7FB0"/>
    <w:rsid w:val="00ED04A8"/>
    <w:rsid w:val="00ED202C"/>
    <w:rsid w:val="00ED2B9B"/>
    <w:rsid w:val="00ED6189"/>
    <w:rsid w:val="00ED6C2C"/>
    <w:rsid w:val="00EE24A2"/>
    <w:rsid w:val="00EE2F8B"/>
    <w:rsid w:val="00EE557B"/>
    <w:rsid w:val="00EF0A38"/>
    <w:rsid w:val="00EF2525"/>
    <w:rsid w:val="00EF2634"/>
    <w:rsid w:val="00EF4C65"/>
    <w:rsid w:val="00EF542F"/>
    <w:rsid w:val="00EF667C"/>
    <w:rsid w:val="00EF6817"/>
    <w:rsid w:val="00F0016F"/>
    <w:rsid w:val="00F066E1"/>
    <w:rsid w:val="00F0745E"/>
    <w:rsid w:val="00F07B61"/>
    <w:rsid w:val="00F10065"/>
    <w:rsid w:val="00F12262"/>
    <w:rsid w:val="00F12ADB"/>
    <w:rsid w:val="00F133B8"/>
    <w:rsid w:val="00F13E08"/>
    <w:rsid w:val="00F16FC3"/>
    <w:rsid w:val="00F21A7C"/>
    <w:rsid w:val="00F22BD5"/>
    <w:rsid w:val="00F23BD8"/>
    <w:rsid w:val="00F323F2"/>
    <w:rsid w:val="00F34478"/>
    <w:rsid w:val="00F34D71"/>
    <w:rsid w:val="00F42538"/>
    <w:rsid w:val="00F44AEF"/>
    <w:rsid w:val="00F45644"/>
    <w:rsid w:val="00F559FF"/>
    <w:rsid w:val="00F57E4F"/>
    <w:rsid w:val="00F61F5D"/>
    <w:rsid w:val="00F640FB"/>
    <w:rsid w:val="00F662CB"/>
    <w:rsid w:val="00F67A91"/>
    <w:rsid w:val="00F72E8E"/>
    <w:rsid w:val="00F7313B"/>
    <w:rsid w:val="00F736AC"/>
    <w:rsid w:val="00F747D0"/>
    <w:rsid w:val="00F74E89"/>
    <w:rsid w:val="00F77EC7"/>
    <w:rsid w:val="00F809A8"/>
    <w:rsid w:val="00F80FE6"/>
    <w:rsid w:val="00F82E7C"/>
    <w:rsid w:val="00F85288"/>
    <w:rsid w:val="00F91C71"/>
    <w:rsid w:val="00F9584B"/>
    <w:rsid w:val="00F95A89"/>
    <w:rsid w:val="00F95F57"/>
    <w:rsid w:val="00F96D4B"/>
    <w:rsid w:val="00F9717E"/>
    <w:rsid w:val="00FA3065"/>
    <w:rsid w:val="00FA3210"/>
    <w:rsid w:val="00FA36C9"/>
    <w:rsid w:val="00FA5E23"/>
    <w:rsid w:val="00FA64C1"/>
    <w:rsid w:val="00FB13A9"/>
    <w:rsid w:val="00FB174F"/>
    <w:rsid w:val="00FB2351"/>
    <w:rsid w:val="00FB2497"/>
    <w:rsid w:val="00FB5E1D"/>
    <w:rsid w:val="00FB63A1"/>
    <w:rsid w:val="00FB73A7"/>
    <w:rsid w:val="00FB7757"/>
    <w:rsid w:val="00FB7D89"/>
    <w:rsid w:val="00FC1AF5"/>
    <w:rsid w:val="00FD1740"/>
    <w:rsid w:val="00FD1FE3"/>
    <w:rsid w:val="00FD38FC"/>
    <w:rsid w:val="00FD6FC3"/>
    <w:rsid w:val="00FE0F19"/>
    <w:rsid w:val="00FE4363"/>
    <w:rsid w:val="00FF0C76"/>
    <w:rsid w:val="00FF206E"/>
    <w:rsid w:val="00FF3F51"/>
    <w:rsid w:val="00FF5EA1"/>
    <w:rsid w:val="00FF64B1"/>
    <w:rsid w:val="00FF6581"/>
    <w:rsid w:val="00FF74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3"/>
    <o:shapelayout v:ext="edit">
      <o:idmap v:ext="edit" data="1"/>
    </o:shapelayout>
  </w:shapeDefaults>
  <w:decimalSymbol w:val=","/>
  <w:listSeparator w:val=";"/>
  <w14:docId w14:val="2F5A749F"/>
  <w14:defaultImageDpi w14:val="0"/>
  <w15:docId w15:val="{047078D8-9AEC-4355-B2AC-DE96849DB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26AFB"/>
    <w:pPr>
      <w:spacing w:line="360" w:lineRule="atLeast"/>
      <w:jc w:val="both"/>
    </w:pPr>
    <w:rPr>
      <w:rFonts w:ascii="Times New Roman CYR" w:hAnsi="Times New Roman CYR"/>
      <w:sz w:val="28"/>
    </w:rPr>
  </w:style>
  <w:style w:type="paragraph" w:styleId="10">
    <w:name w:val="heading 1"/>
    <w:basedOn w:val="a1"/>
    <w:next w:val="a1"/>
    <w:link w:val="11"/>
    <w:uiPriority w:val="9"/>
    <w:qFormat/>
    <w:rsid w:val="006928C8"/>
    <w:pPr>
      <w:keepNext/>
      <w:spacing w:before="240" w:after="60"/>
      <w:outlineLvl w:val="0"/>
    </w:pPr>
    <w:rPr>
      <w:rFonts w:asciiTheme="majorHAnsi" w:eastAsiaTheme="majorEastAsia" w:hAnsiTheme="majorHAnsi"/>
      <w:b/>
      <w:bCs/>
      <w:kern w:val="32"/>
      <w:sz w:val="32"/>
      <w:szCs w:val="32"/>
    </w:rPr>
  </w:style>
  <w:style w:type="paragraph" w:styleId="20">
    <w:name w:val="heading 2"/>
    <w:basedOn w:val="a1"/>
    <w:next w:val="a1"/>
    <w:link w:val="21"/>
    <w:uiPriority w:val="9"/>
    <w:unhideWhenUsed/>
    <w:qFormat/>
    <w:rsid w:val="00662809"/>
    <w:pPr>
      <w:keepNext/>
      <w:spacing w:before="240" w:after="60"/>
      <w:outlineLvl w:val="1"/>
    </w:pPr>
    <w:rPr>
      <w:rFonts w:asciiTheme="majorHAnsi" w:eastAsiaTheme="majorEastAsia" w:hAnsiTheme="majorHAnsi"/>
      <w:b/>
      <w:bCs/>
      <w:i/>
      <w:iCs/>
      <w:szCs w:val="28"/>
    </w:rPr>
  </w:style>
  <w:style w:type="paragraph" w:styleId="30">
    <w:name w:val="heading 3"/>
    <w:aliases w:val="Заголовок 3 Знак1,Заголовок 3 Знак Знак"/>
    <w:basedOn w:val="a1"/>
    <w:next w:val="a1"/>
    <w:link w:val="31"/>
    <w:autoRedefine/>
    <w:qFormat/>
    <w:rsid w:val="00543EE4"/>
    <w:pPr>
      <w:spacing w:before="240" w:after="120" w:line="240" w:lineRule="auto"/>
      <w:ind w:left="1204" w:hanging="504"/>
      <w:outlineLvl w:val="2"/>
    </w:pPr>
    <w:rPr>
      <w:rFonts w:ascii="Times New Roman" w:hAnsi="Times New Roman"/>
      <w:i/>
      <w:iCs/>
      <w:caps/>
      <w:sz w:val="26"/>
      <w:szCs w:val="26"/>
    </w:rPr>
  </w:style>
  <w:style w:type="paragraph" w:styleId="40">
    <w:name w:val="heading 4"/>
    <w:basedOn w:val="a1"/>
    <w:next w:val="a1"/>
    <w:link w:val="41"/>
    <w:qFormat/>
    <w:rsid w:val="00543EE4"/>
    <w:pPr>
      <w:shd w:val="clear" w:color="auto" w:fill="FFFFFF"/>
      <w:autoSpaceDE w:val="0"/>
      <w:autoSpaceDN w:val="0"/>
      <w:adjustRightInd w:val="0"/>
      <w:spacing w:line="240" w:lineRule="auto"/>
      <w:ind w:left="2380" w:hanging="680"/>
      <w:outlineLvl w:val="3"/>
    </w:pPr>
    <w:rPr>
      <w:rFonts w:ascii="Times New Roman" w:hAnsi="Times New Roman"/>
      <w:bCs/>
      <w:iCs/>
      <w:sz w:val="26"/>
      <w:szCs w:val="26"/>
    </w:rPr>
  </w:style>
  <w:style w:type="paragraph" w:styleId="5">
    <w:name w:val="heading 5"/>
    <w:basedOn w:val="a1"/>
    <w:next w:val="a1"/>
    <w:link w:val="50"/>
    <w:uiPriority w:val="9"/>
    <w:qFormat/>
    <w:rsid w:val="006928C8"/>
    <w:pPr>
      <w:spacing w:before="240" w:after="60"/>
      <w:outlineLvl w:val="4"/>
    </w:pPr>
    <w:rPr>
      <w:b/>
      <w:bCs/>
      <w:i/>
      <w:iCs/>
      <w:sz w:val="26"/>
      <w:szCs w:val="26"/>
    </w:rPr>
  </w:style>
  <w:style w:type="paragraph" w:styleId="6">
    <w:name w:val="heading 6"/>
    <w:next w:val="a1"/>
    <w:link w:val="60"/>
    <w:qFormat/>
    <w:rsid w:val="00543EE4"/>
    <w:pPr>
      <w:spacing w:before="120"/>
      <w:ind w:left="1077" w:hanging="680"/>
      <w:jc w:val="both"/>
      <w:outlineLvl w:val="5"/>
    </w:pPr>
    <w:rPr>
      <w:b/>
      <w:i/>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locked/>
    <w:rsid w:val="006928C8"/>
    <w:rPr>
      <w:rFonts w:asciiTheme="majorHAnsi" w:eastAsiaTheme="majorEastAsia" w:hAnsiTheme="majorHAnsi" w:cs="Times New Roman"/>
      <w:b/>
      <w:bCs/>
      <w:kern w:val="32"/>
      <w:sz w:val="32"/>
      <w:szCs w:val="32"/>
    </w:rPr>
  </w:style>
  <w:style w:type="character" w:customStyle="1" w:styleId="21">
    <w:name w:val="Заголовок 2 Знак"/>
    <w:basedOn w:val="a2"/>
    <w:link w:val="20"/>
    <w:uiPriority w:val="9"/>
    <w:locked/>
    <w:rsid w:val="00662809"/>
    <w:rPr>
      <w:rFonts w:asciiTheme="majorHAnsi" w:eastAsiaTheme="majorEastAsia" w:hAnsiTheme="majorHAnsi" w:cs="Times New Roman"/>
      <w:b/>
      <w:bCs/>
      <w:i/>
      <w:iCs/>
      <w:sz w:val="28"/>
      <w:szCs w:val="28"/>
    </w:rPr>
  </w:style>
  <w:style w:type="character" w:customStyle="1" w:styleId="50">
    <w:name w:val="Заголовок 5 Знак"/>
    <w:basedOn w:val="a2"/>
    <w:link w:val="5"/>
    <w:uiPriority w:val="9"/>
    <w:locked/>
    <w:rsid w:val="006928C8"/>
    <w:rPr>
      <w:rFonts w:ascii="Times New Roman CYR" w:hAnsi="Times New Roman CYR" w:cs="Times New Roman"/>
      <w:b/>
      <w:bCs/>
      <w:i/>
      <w:iCs/>
      <w:sz w:val="26"/>
      <w:szCs w:val="26"/>
    </w:rPr>
  </w:style>
  <w:style w:type="table" w:styleId="a5">
    <w:name w:val="Table Grid"/>
    <w:basedOn w:val="a3"/>
    <w:rsid w:val="00082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082243"/>
    <w:pPr>
      <w:widowControl w:val="0"/>
      <w:autoSpaceDE w:val="0"/>
      <w:autoSpaceDN w:val="0"/>
      <w:adjustRightInd w:val="0"/>
      <w:ind w:firstLine="720"/>
    </w:pPr>
    <w:rPr>
      <w:rFonts w:ascii="Arial" w:hAnsi="Arial" w:cs="Arial"/>
    </w:rPr>
  </w:style>
  <w:style w:type="paragraph" w:styleId="a6">
    <w:name w:val="Normal (Web)"/>
    <w:basedOn w:val="a1"/>
    <w:uiPriority w:val="99"/>
    <w:rsid w:val="00082243"/>
    <w:pPr>
      <w:spacing w:before="100" w:after="100" w:line="240" w:lineRule="auto"/>
      <w:jc w:val="left"/>
    </w:pPr>
    <w:rPr>
      <w:rFonts w:ascii="Verdana" w:hAnsi="Verdana" w:cs="Verdana"/>
      <w:color w:val="000000"/>
      <w:sz w:val="21"/>
      <w:szCs w:val="21"/>
    </w:rPr>
  </w:style>
  <w:style w:type="character" w:styleId="a7">
    <w:name w:val="Hyperlink"/>
    <w:basedOn w:val="a2"/>
    <w:uiPriority w:val="99"/>
    <w:rsid w:val="0024601A"/>
    <w:rPr>
      <w:rFonts w:cs="Times New Roman"/>
      <w:color w:val="0000FF"/>
      <w:u w:val="single"/>
    </w:rPr>
  </w:style>
  <w:style w:type="paragraph" w:customStyle="1" w:styleId="BodyNum">
    <w:name w:val="Body Num"/>
    <w:basedOn w:val="a1"/>
    <w:uiPriority w:val="99"/>
    <w:rsid w:val="00C85F8A"/>
    <w:pPr>
      <w:spacing w:after="120" w:line="240" w:lineRule="auto"/>
    </w:pPr>
    <w:rPr>
      <w:rFonts w:ascii="Times New Roman" w:hAnsi="Times New Roman"/>
      <w:sz w:val="24"/>
      <w:szCs w:val="24"/>
    </w:rPr>
  </w:style>
  <w:style w:type="paragraph" w:styleId="a8">
    <w:name w:val="Balloon Text"/>
    <w:basedOn w:val="a1"/>
    <w:link w:val="a9"/>
    <w:uiPriority w:val="99"/>
    <w:rsid w:val="005F10CB"/>
    <w:pPr>
      <w:spacing w:line="240" w:lineRule="auto"/>
    </w:pPr>
    <w:rPr>
      <w:rFonts w:ascii="Tahoma" w:hAnsi="Tahoma" w:cs="Tahoma"/>
      <w:sz w:val="16"/>
      <w:szCs w:val="16"/>
    </w:rPr>
  </w:style>
  <w:style w:type="character" w:customStyle="1" w:styleId="a9">
    <w:name w:val="Текст выноски Знак"/>
    <w:basedOn w:val="a2"/>
    <w:link w:val="a8"/>
    <w:uiPriority w:val="99"/>
    <w:locked/>
    <w:rsid w:val="005F10CB"/>
    <w:rPr>
      <w:rFonts w:ascii="Tahoma" w:hAnsi="Tahoma" w:cs="Tahoma"/>
      <w:sz w:val="16"/>
      <w:szCs w:val="16"/>
    </w:rPr>
  </w:style>
  <w:style w:type="paragraph" w:styleId="aa">
    <w:name w:val="header"/>
    <w:basedOn w:val="a1"/>
    <w:link w:val="ab"/>
    <w:uiPriority w:val="99"/>
    <w:rsid w:val="00685E5D"/>
    <w:pPr>
      <w:tabs>
        <w:tab w:val="center" w:pos="4677"/>
        <w:tab w:val="right" w:pos="9355"/>
      </w:tabs>
    </w:pPr>
  </w:style>
  <w:style w:type="character" w:customStyle="1" w:styleId="ab">
    <w:name w:val="Верхний колонтитул Знак"/>
    <w:basedOn w:val="a2"/>
    <w:link w:val="aa"/>
    <w:uiPriority w:val="99"/>
    <w:locked/>
    <w:rsid w:val="00685E5D"/>
    <w:rPr>
      <w:rFonts w:ascii="Times New Roman CYR" w:hAnsi="Times New Roman CYR" w:cs="Times New Roman"/>
      <w:sz w:val="28"/>
    </w:rPr>
  </w:style>
  <w:style w:type="paragraph" w:styleId="ac">
    <w:name w:val="footer"/>
    <w:basedOn w:val="a1"/>
    <w:link w:val="ad"/>
    <w:uiPriority w:val="99"/>
    <w:rsid w:val="00685E5D"/>
    <w:pPr>
      <w:tabs>
        <w:tab w:val="center" w:pos="4677"/>
        <w:tab w:val="right" w:pos="9355"/>
      </w:tabs>
    </w:pPr>
  </w:style>
  <w:style w:type="character" w:customStyle="1" w:styleId="ad">
    <w:name w:val="Нижний колонтитул Знак"/>
    <w:basedOn w:val="a2"/>
    <w:link w:val="ac"/>
    <w:uiPriority w:val="99"/>
    <w:locked/>
    <w:rsid w:val="00685E5D"/>
    <w:rPr>
      <w:rFonts w:ascii="Times New Roman CYR" w:hAnsi="Times New Roman CYR" w:cs="Times New Roman"/>
      <w:sz w:val="28"/>
    </w:rPr>
  </w:style>
  <w:style w:type="paragraph" w:customStyle="1" w:styleId="ConsNormal">
    <w:name w:val="ConsNormal"/>
    <w:uiPriority w:val="99"/>
    <w:rsid w:val="00662809"/>
    <w:pPr>
      <w:widowControl w:val="0"/>
      <w:ind w:firstLine="720"/>
    </w:pPr>
    <w:rPr>
      <w:rFonts w:ascii="Arial" w:hAnsi="Arial" w:cs="Arial"/>
    </w:rPr>
  </w:style>
  <w:style w:type="paragraph" w:customStyle="1" w:styleId="ConsNonformat">
    <w:name w:val="ConsNonformat"/>
    <w:uiPriority w:val="99"/>
    <w:rsid w:val="00662809"/>
    <w:pPr>
      <w:widowControl w:val="0"/>
    </w:pPr>
    <w:rPr>
      <w:rFonts w:ascii="Courier New" w:hAnsi="Courier New" w:cs="Courier New"/>
    </w:rPr>
  </w:style>
  <w:style w:type="paragraph" w:styleId="ae">
    <w:name w:val="annotation text"/>
    <w:basedOn w:val="a1"/>
    <w:link w:val="af"/>
    <w:uiPriority w:val="99"/>
    <w:rsid w:val="00662809"/>
    <w:pPr>
      <w:spacing w:line="240" w:lineRule="auto"/>
      <w:jc w:val="left"/>
    </w:pPr>
    <w:rPr>
      <w:rFonts w:ascii="Times New Roman" w:hAnsi="Times New Roman"/>
      <w:sz w:val="20"/>
      <w:szCs w:val="24"/>
    </w:rPr>
  </w:style>
  <w:style w:type="character" w:customStyle="1" w:styleId="af">
    <w:name w:val="Текст примечания Знак"/>
    <w:basedOn w:val="a2"/>
    <w:link w:val="ae"/>
    <w:uiPriority w:val="99"/>
    <w:locked/>
    <w:rsid w:val="00662809"/>
    <w:rPr>
      <w:rFonts w:cs="Times New Roman"/>
      <w:sz w:val="24"/>
      <w:szCs w:val="24"/>
    </w:rPr>
  </w:style>
  <w:style w:type="paragraph" w:customStyle="1" w:styleId="H4">
    <w:name w:val="H4"/>
    <w:basedOn w:val="a1"/>
    <w:next w:val="a1"/>
    <w:uiPriority w:val="99"/>
    <w:rsid w:val="00662809"/>
    <w:pPr>
      <w:keepNext/>
      <w:spacing w:before="100" w:after="100" w:line="240" w:lineRule="auto"/>
      <w:jc w:val="left"/>
      <w:outlineLvl w:val="4"/>
    </w:pPr>
    <w:rPr>
      <w:rFonts w:ascii="Times New Roman" w:hAnsi="Times New Roman"/>
      <w:b/>
      <w:bCs/>
      <w:sz w:val="24"/>
      <w:szCs w:val="24"/>
      <w:lang w:eastAsia="en-US"/>
    </w:rPr>
  </w:style>
  <w:style w:type="character" w:styleId="af0">
    <w:name w:val="annotation reference"/>
    <w:basedOn w:val="a2"/>
    <w:uiPriority w:val="99"/>
    <w:unhideWhenUsed/>
    <w:rsid w:val="00662809"/>
    <w:rPr>
      <w:rFonts w:cs="Times New Roman"/>
      <w:sz w:val="16"/>
      <w:szCs w:val="16"/>
    </w:rPr>
  </w:style>
  <w:style w:type="paragraph" w:styleId="af1">
    <w:name w:val="annotation subject"/>
    <w:basedOn w:val="ae"/>
    <w:next w:val="ae"/>
    <w:link w:val="af2"/>
    <w:uiPriority w:val="99"/>
    <w:unhideWhenUsed/>
    <w:rsid w:val="00662809"/>
    <w:rPr>
      <w:b/>
      <w:bCs/>
      <w:szCs w:val="20"/>
    </w:rPr>
  </w:style>
  <w:style w:type="character" w:customStyle="1" w:styleId="af2">
    <w:name w:val="Тема примечания Знак"/>
    <w:basedOn w:val="af"/>
    <w:link w:val="af1"/>
    <w:uiPriority w:val="99"/>
    <w:locked/>
    <w:rsid w:val="00662809"/>
    <w:rPr>
      <w:rFonts w:cs="Times New Roman"/>
      <w:b/>
      <w:bCs/>
      <w:sz w:val="24"/>
      <w:szCs w:val="24"/>
    </w:rPr>
  </w:style>
  <w:style w:type="paragraph" w:styleId="af3">
    <w:name w:val="Revision"/>
    <w:hidden/>
    <w:uiPriority w:val="99"/>
    <w:semiHidden/>
    <w:rsid w:val="00662809"/>
    <w:rPr>
      <w:sz w:val="24"/>
      <w:szCs w:val="24"/>
    </w:rPr>
  </w:style>
  <w:style w:type="paragraph" w:customStyle="1" w:styleId="ConsPlusNonformat">
    <w:name w:val="ConsPlusNonformat"/>
    <w:uiPriority w:val="99"/>
    <w:rsid w:val="005A5E8A"/>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5A5E8A"/>
    <w:pPr>
      <w:widowControl w:val="0"/>
      <w:autoSpaceDE w:val="0"/>
      <w:autoSpaceDN w:val="0"/>
      <w:adjustRightInd w:val="0"/>
    </w:pPr>
    <w:rPr>
      <w:b/>
      <w:bCs/>
      <w:sz w:val="24"/>
      <w:szCs w:val="24"/>
    </w:rPr>
  </w:style>
  <w:style w:type="paragraph" w:styleId="af4">
    <w:name w:val="Body Text Indent"/>
    <w:basedOn w:val="a1"/>
    <w:link w:val="af5"/>
    <w:uiPriority w:val="99"/>
    <w:rsid w:val="005A5E8A"/>
    <w:pPr>
      <w:spacing w:line="240" w:lineRule="auto"/>
      <w:ind w:left="375"/>
    </w:pPr>
    <w:rPr>
      <w:rFonts w:ascii="Arial" w:hAnsi="Arial"/>
      <w:sz w:val="20"/>
      <w:szCs w:val="24"/>
    </w:rPr>
  </w:style>
  <w:style w:type="character" w:customStyle="1" w:styleId="af5">
    <w:name w:val="Основной текст с отступом Знак"/>
    <w:basedOn w:val="a2"/>
    <w:link w:val="af4"/>
    <w:uiPriority w:val="99"/>
    <w:locked/>
    <w:rsid w:val="005A5E8A"/>
    <w:rPr>
      <w:rFonts w:ascii="Arial" w:hAnsi="Arial" w:cs="Times New Roman"/>
      <w:sz w:val="24"/>
      <w:szCs w:val="24"/>
    </w:rPr>
  </w:style>
  <w:style w:type="character" w:styleId="af6">
    <w:name w:val="page number"/>
    <w:basedOn w:val="a2"/>
    <w:uiPriority w:val="99"/>
    <w:rsid w:val="005A5E8A"/>
    <w:rPr>
      <w:rFonts w:cs="Times New Roman"/>
    </w:rPr>
  </w:style>
  <w:style w:type="character" w:styleId="af7">
    <w:name w:val="FollowedHyperlink"/>
    <w:basedOn w:val="a2"/>
    <w:uiPriority w:val="99"/>
    <w:unhideWhenUsed/>
    <w:rsid w:val="005A5E8A"/>
    <w:rPr>
      <w:rFonts w:cs="Times New Roman"/>
      <w:color w:val="800080"/>
      <w:u w:val="single"/>
    </w:rPr>
  </w:style>
  <w:style w:type="paragraph" w:styleId="af8">
    <w:name w:val="Body Text"/>
    <w:basedOn w:val="a1"/>
    <w:link w:val="af9"/>
    <w:uiPriority w:val="99"/>
    <w:unhideWhenUsed/>
    <w:rsid w:val="005A5E8A"/>
    <w:pPr>
      <w:spacing w:line="240" w:lineRule="auto"/>
    </w:pPr>
    <w:rPr>
      <w:rFonts w:ascii="Times New Roman" w:hAnsi="Times New Roman"/>
      <w:sz w:val="22"/>
    </w:rPr>
  </w:style>
  <w:style w:type="character" w:customStyle="1" w:styleId="af9">
    <w:name w:val="Основной текст Знак"/>
    <w:basedOn w:val="a2"/>
    <w:link w:val="af8"/>
    <w:uiPriority w:val="99"/>
    <w:locked/>
    <w:rsid w:val="005A5E8A"/>
    <w:rPr>
      <w:rFonts w:cs="Times New Roman"/>
      <w:sz w:val="22"/>
    </w:rPr>
  </w:style>
  <w:style w:type="paragraph" w:customStyle="1" w:styleId="afa">
    <w:name w:val="Текстовый"/>
    <w:link w:val="afb"/>
    <w:uiPriority w:val="99"/>
    <w:rsid w:val="008F177D"/>
    <w:pPr>
      <w:widowControl w:val="0"/>
      <w:jc w:val="both"/>
    </w:pPr>
    <w:rPr>
      <w:rFonts w:ascii="Arial" w:hAnsi="Arial"/>
    </w:rPr>
  </w:style>
  <w:style w:type="character" w:customStyle="1" w:styleId="afb">
    <w:name w:val="Текстовый Знак"/>
    <w:basedOn w:val="a2"/>
    <w:link w:val="afa"/>
    <w:uiPriority w:val="99"/>
    <w:locked/>
    <w:rsid w:val="008F177D"/>
    <w:rPr>
      <w:rFonts w:ascii="Arial" w:hAnsi="Arial" w:cs="Times New Roman"/>
    </w:rPr>
  </w:style>
  <w:style w:type="paragraph" w:customStyle="1" w:styleId="12">
    <w:name w:val="Абзац списка1"/>
    <w:basedOn w:val="a1"/>
    <w:uiPriority w:val="99"/>
    <w:rsid w:val="0093588D"/>
    <w:pPr>
      <w:spacing w:line="240" w:lineRule="auto"/>
      <w:ind w:left="720"/>
      <w:jc w:val="left"/>
    </w:pPr>
    <w:rPr>
      <w:rFonts w:ascii="Times New Roman" w:hAnsi="Times New Roman"/>
      <w:sz w:val="24"/>
    </w:rPr>
  </w:style>
  <w:style w:type="paragraph" w:styleId="afc">
    <w:name w:val="List Paragraph"/>
    <w:basedOn w:val="a1"/>
    <w:link w:val="afd"/>
    <w:uiPriority w:val="34"/>
    <w:qFormat/>
    <w:rsid w:val="0093588D"/>
    <w:pPr>
      <w:spacing w:after="200" w:line="276" w:lineRule="auto"/>
      <w:ind w:left="720"/>
      <w:contextualSpacing/>
      <w:jc w:val="left"/>
    </w:pPr>
    <w:rPr>
      <w:rFonts w:ascii="Calibri" w:hAnsi="Calibri"/>
      <w:sz w:val="22"/>
      <w:szCs w:val="22"/>
      <w:lang w:eastAsia="en-US"/>
    </w:rPr>
  </w:style>
  <w:style w:type="character" w:customStyle="1" w:styleId="afd">
    <w:name w:val="Абзац списка Знак"/>
    <w:link w:val="afc"/>
    <w:uiPriority w:val="34"/>
    <w:locked/>
    <w:rsid w:val="0093588D"/>
    <w:rPr>
      <w:rFonts w:ascii="Calibri" w:hAnsi="Calibri"/>
      <w:sz w:val="22"/>
      <w:lang w:val="x-none" w:eastAsia="en-US"/>
    </w:rPr>
  </w:style>
  <w:style w:type="paragraph" w:customStyle="1" w:styleId="13">
    <w:name w:val="1"/>
    <w:basedOn w:val="a1"/>
    <w:uiPriority w:val="99"/>
    <w:rsid w:val="00085998"/>
    <w:pPr>
      <w:spacing w:line="240" w:lineRule="auto"/>
      <w:jc w:val="left"/>
    </w:pPr>
    <w:rPr>
      <w:rFonts w:ascii="Times New Roman" w:hAnsi="Times New Roman"/>
      <w:sz w:val="24"/>
      <w:szCs w:val="24"/>
    </w:rPr>
  </w:style>
  <w:style w:type="character" w:styleId="afe">
    <w:name w:val="Placeholder Text"/>
    <w:basedOn w:val="a2"/>
    <w:uiPriority w:val="99"/>
    <w:semiHidden/>
    <w:rsid w:val="00926BA7"/>
    <w:rPr>
      <w:color w:val="808080"/>
    </w:rPr>
  </w:style>
  <w:style w:type="paragraph" w:customStyle="1" w:styleId="22">
    <w:name w:val="Абзац списка2"/>
    <w:basedOn w:val="a1"/>
    <w:uiPriority w:val="99"/>
    <w:rsid w:val="00CF6E07"/>
    <w:pPr>
      <w:suppressAutoHyphens/>
      <w:spacing w:after="200" w:line="276" w:lineRule="auto"/>
      <w:ind w:left="720"/>
      <w:contextualSpacing/>
      <w:jc w:val="left"/>
    </w:pPr>
    <w:rPr>
      <w:rFonts w:ascii="Calibri" w:eastAsia="Calibri" w:hAnsi="Calibri"/>
      <w:kern w:val="1"/>
      <w:sz w:val="22"/>
      <w:szCs w:val="22"/>
      <w:lang w:eastAsia="en-US"/>
    </w:rPr>
  </w:style>
  <w:style w:type="paragraph" w:customStyle="1" w:styleId="32">
    <w:name w:val="Абзац списка3"/>
    <w:basedOn w:val="a1"/>
    <w:uiPriority w:val="99"/>
    <w:rsid w:val="00F10065"/>
    <w:pPr>
      <w:suppressAutoHyphens/>
      <w:spacing w:after="200" w:line="276" w:lineRule="auto"/>
      <w:ind w:left="720"/>
      <w:contextualSpacing/>
      <w:jc w:val="left"/>
    </w:pPr>
    <w:rPr>
      <w:rFonts w:ascii="Calibri" w:eastAsia="Calibri" w:hAnsi="Calibri"/>
      <w:kern w:val="1"/>
      <w:sz w:val="22"/>
      <w:szCs w:val="22"/>
      <w:lang w:eastAsia="en-US"/>
    </w:rPr>
  </w:style>
  <w:style w:type="paragraph" w:customStyle="1" w:styleId="1">
    <w:name w:val="Раздел 1"/>
    <w:basedOn w:val="afc"/>
    <w:link w:val="110"/>
    <w:uiPriority w:val="99"/>
    <w:qFormat/>
    <w:rsid w:val="0062084E"/>
    <w:pPr>
      <w:keepNext/>
      <w:numPr>
        <w:ilvl w:val="1"/>
        <w:numId w:val="1"/>
      </w:numPr>
      <w:spacing w:before="240" w:after="0" w:line="240" w:lineRule="auto"/>
      <w:jc w:val="both"/>
    </w:pPr>
    <w:rPr>
      <w:rFonts w:ascii="Times New Roman" w:eastAsia="Calibri" w:hAnsi="Times New Roman"/>
      <w:b/>
      <w:sz w:val="20"/>
      <w:szCs w:val="20"/>
    </w:rPr>
  </w:style>
  <w:style w:type="paragraph" w:customStyle="1" w:styleId="a">
    <w:name w:val="Часть"/>
    <w:basedOn w:val="a1"/>
    <w:link w:val="aff"/>
    <w:uiPriority w:val="99"/>
    <w:qFormat/>
    <w:rsid w:val="0062084E"/>
    <w:pPr>
      <w:keepNext/>
      <w:widowControl w:val="0"/>
      <w:numPr>
        <w:numId w:val="1"/>
      </w:numPr>
      <w:spacing w:before="360" w:after="120" w:line="240" w:lineRule="auto"/>
      <w:jc w:val="center"/>
    </w:pPr>
    <w:rPr>
      <w:rFonts w:ascii="Times New Roman" w:eastAsia="Calibri" w:hAnsi="Times New Roman"/>
      <w:b/>
      <w:bCs/>
      <w:sz w:val="24"/>
      <w:szCs w:val="22"/>
      <w:lang w:eastAsia="en-US"/>
    </w:rPr>
  </w:style>
  <w:style w:type="paragraph" w:customStyle="1" w:styleId="2">
    <w:name w:val="Раздел 2"/>
    <w:basedOn w:val="1"/>
    <w:uiPriority w:val="99"/>
    <w:qFormat/>
    <w:rsid w:val="0062084E"/>
    <w:pPr>
      <w:numPr>
        <w:ilvl w:val="2"/>
      </w:numPr>
      <w:spacing w:before="120"/>
    </w:pPr>
  </w:style>
  <w:style w:type="paragraph" w:customStyle="1" w:styleId="3">
    <w:name w:val="Раздел 3"/>
    <w:basedOn w:val="2"/>
    <w:uiPriority w:val="99"/>
    <w:qFormat/>
    <w:rsid w:val="0062084E"/>
    <w:pPr>
      <w:numPr>
        <w:ilvl w:val="3"/>
      </w:numPr>
    </w:pPr>
  </w:style>
  <w:style w:type="paragraph" w:customStyle="1" w:styleId="4">
    <w:name w:val="Раздел 4"/>
    <w:basedOn w:val="3"/>
    <w:uiPriority w:val="99"/>
    <w:qFormat/>
    <w:rsid w:val="0062084E"/>
    <w:pPr>
      <w:numPr>
        <w:ilvl w:val="4"/>
      </w:numPr>
    </w:pPr>
    <w:rPr>
      <w:i/>
    </w:rPr>
  </w:style>
  <w:style w:type="character" w:customStyle="1" w:styleId="aff">
    <w:name w:val="Часть Знак"/>
    <w:link w:val="a"/>
    <w:uiPriority w:val="99"/>
    <w:rsid w:val="0062084E"/>
    <w:rPr>
      <w:rFonts w:eastAsia="Calibri"/>
      <w:b/>
      <w:bCs/>
      <w:sz w:val="24"/>
      <w:szCs w:val="22"/>
      <w:lang w:eastAsia="en-US"/>
    </w:rPr>
  </w:style>
  <w:style w:type="character" w:customStyle="1" w:styleId="110">
    <w:name w:val="Раздел 1 Знак1"/>
    <w:link w:val="1"/>
    <w:uiPriority w:val="99"/>
    <w:rsid w:val="005B708C"/>
    <w:rPr>
      <w:rFonts w:eastAsia="Calibri"/>
      <w:b/>
      <w:lang w:eastAsia="en-US"/>
    </w:rPr>
  </w:style>
  <w:style w:type="paragraph" w:styleId="aff0">
    <w:name w:val="endnote text"/>
    <w:basedOn w:val="a1"/>
    <w:link w:val="aff1"/>
    <w:uiPriority w:val="99"/>
    <w:semiHidden/>
    <w:unhideWhenUsed/>
    <w:rsid w:val="005B708C"/>
    <w:pPr>
      <w:spacing w:line="240" w:lineRule="auto"/>
      <w:jc w:val="left"/>
    </w:pPr>
    <w:rPr>
      <w:rFonts w:ascii="Times New Roman" w:hAnsi="Times New Roman"/>
      <w:sz w:val="20"/>
    </w:rPr>
  </w:style>
  <w:style w:type="character" w:customStyle="1" w:styleId="aff1">
    <w:name w:val="Текст концевой сноски Знак"/>
    <w:basedOn w:val="a2"/>
    <w:link w:val="aff0"/>
    <w:uiPriority w:val="99"/>
    <w:semiHidden/>
    <w:rsid w:val="005B708C"/>
  </w:style>
  <w:style w:type="character" w:styleId="aff2">
    <w:name w:val="endnote reference"/>
    <w:uiPriority w:val="99"/>
    <w:semiHidden/>
    <w:unhideWhenUsed/>
    <w:rsid w:val="005B708C"/>
    <w:rPr>
      <w:vertAlign w:val="superscript"/>
    </w:rPr>
  </w:style>
  <w:style w:type="character" w:customStyle="1" w:styleId="31">
    <w:name w:val="Заголовок 3 Знак"/>
    <w:aliases w:val="Заголовок 3 Знак1 Знак,Заголовок 3 Знак Знак Знак"/>
    <w:basedOn w:val="a2"/>
    <w:link w:val="30"/>
    <w:rsid w:val="00543EE4"/>
    <w:rPr>
      <w:i/>
      <w:iCs/>
      <w:caps/>
      <w:sz w:val="26"/>
      <w:szCs w:val="26"/>
    </w:rPr>
  </w:style>
  <w:style w:type="character" w:customStyle="1" w:styleId="41">
    <w:name w:val="Заголовок 4 Знак"/>
    <w:basedOn w:val="a2"/>
    <w:link w:val="40"/>
    <w:rsid w:val="00543EE4"/>
    <w:rPr>
      <w:bCs/>
      <w:iCs/>
      <w:sz w:val="26"/>
      <w:szCs w:val="26"/>
      <w:shd w:val="clear" w:color="auto" w:fill="FFFFFF"/>
    </w:rPr>
  </w:style>
  <w:style w:type="character" w:customStyle="1" w:styleId="60">
    <w:name w:val="Заголовок 6 Знак"/>
    <w:basedOn w:val="a2"/>
    <w:link w:val="6"/>
    <w:rsid w:val="00543EE4"/>
    <w:rPr>
      <w:b/>
      <w:i/>
      <w:sz w:val="24"/>
      <w:szCs w:val="24"/>
    </w:rPr>
  </w:style>
  <w:style w:type="numbering" w:customStyle="1" w:styleId="14">
    <w:name w:val="Нет списка1"/>
    <w:next w:val="a4"/>
    <w:uiPriority w:val="99"/>
    <w:semiHidden/>
    <w:unhideWhenUsed/>
    <w:rsid w:val="00543EE4"/>
  </w:style>
  <w:style w:type="paragraph" w:styleId="a0">
    <w:name w:val="List Bullet"/>
    <w:basedOn w:val="a1"/>
    <w:uiPriority w:val="99"/>
    <w:unhideWhenUsed/>
    <w:qFormat/>
    <w:rsid w:val="00907FD9"/>
    <w:pPr>
      <w:numPr>
        <w:numId w:val="3"/>
      </w:numPr>
      <w:autoSpaceDE w:val="0"/>
      <w:autoSpaceDN w:val="0"/>
      <w:adjustRightInd w:val="0"/>
      <w:spacing w:before="60" w:line="240" w:lineRule="auto"/>
      <w:ind w:left="0" w:firstLine="709"/>
      <w:contextualSpacing/>
    </w:pPr>
    <w:rPr>
      <w:rFonts w:ascii="Times New Roman" w:eastAsia="Calibri" w:hAnsi="Times New Roman"/>
      <w:sz w:val="20"/>
      <w:szCs w:val="22"/>
      <w:lang w:eastAsia="en-US"/>
    </w:rPr>
  </w:style>
  <w:style w:type="character" w:customStyle="1" w:styleId="320">
    <w:name w:val="Заголовок 3 Знак2"/>
    <w:aliases w:val="Заголовок 3 Знак1 Знак1,Заголовок 3 Знак Знак Знак1"/>
    <w:basedOn w:val="a2"/>
    <w:semiHidden/>
    <w:rsid w:val="000C1E0E"/>
    <w:rPr>
      <w:rFonts w:asciiTheme="majorHAnsi" w:eastAsiaTheme="majorEastAsia" w:hAnsiTheme="majorHAnsi" w:cstheme="majorBidi"/>
      <w:b/>
      <w:bCs/>
      <w:color w:val="4F81BD" w:themeColor="accent1"/>
      <w:sz w:val="28"/>
    </w:rPr>
  </w:style>
  <w:style w:type="paragraph" w:customStyle="1" w:styleId="Default">
    <w:name w:val="Default"/>
    <w:rsid w:val="004D61AC"/>
    <w:pPr>
      <w:autoSpaceDE w:val="0"/>
      <w:autoSpaceDN w:val="0"/>
      <w:adjustRightInd w:val="0"/>
    </w:pPr>
    <w:rPr>
      <w:color w:val="000000"/>
      <w:sz w:val="24"/>
      <w:szCs w:val="24"/>
    </w:rPr>
  </w:style>
  <w:style w:type="paragraph" w:styleId="aff3">
    <w:name w:val="footnote text"/>
    <w:basedOn w:val="a1"/>
    <w:link w:val="aff4"/>
    <w:uiPriority w:val="99"/>
    <w:unhideWhenUsed/>
    <w:rsid w:val="002D3D3B"/>
    <w:pPr>
      <w:spacing w:line="240" w:lineRule="auto"/>
    </w:pPr>
    <w:rPr>
      <w:sz w:val="20"/>
    </w:rPr>
  </w:style>
  <w:style w:type="character" w:customStyle="1" w:styleId="aff4">
    <w:name w:val="Текст сноски Знак"/>
    <w:basedOn w:val="a2"/>
    <w:link w:val="aff3"/>
    <w:uiPriority w:val="99"/>
    <w:rsid w:val="002D3D3B"/>
    <w:rPr>
      <w:rFonts w:ascii="Times New Roman CYR" w:hAnsi="Times New Roman CYR"/>
    </w:rPr>
  </w:style>
  <w:style w:type="character" w:styleId="aff5">
    <w:name w:val="footnote reference"/>
    <w:basedOn w:val="a2"/>
    <w:semiHidden/>
    <w:unhideWhenUsed/>
    <w:rsid w:val="002D3D3B"/>
    <w:rPr>
      <w:vertAlign w:val="superscript"/>
    </w:rPr>
  </w:style>
  <w:style w:type="paragraph" w:styleId="aff6">
    <w:name w:val="Subtitle"/>
    <w:basedOn w:val="a1"/>
    <w:link w:val="aff7"/>
    <w:qFormat/>
    <w:rsid w:val="002D3D3B"/>
    <w:pPr>
      <w:keepNext/>
      <w:keepLines/>
      <w:widowControl w:val="0"/>
      <w:tabs>
        <w:tab w:val="left" w:pos="0"/>
      </w:tabs>
      <w:autoSpaceDE w:val="0"/>
      <w:autoSpaceDN w:val="0"/>
      <w:adjustRightInd w:val="0"/>
      <w:spacing w:before="120" w:after="120" w:line="240" w:lineRule="auto"/>
      <w:ind w:firstLine="709"/>
      <w:jc w:val="left"/>
      <w:outlineLvl w:val="1"/>
    </w:pPr>
    <w:rPr>
      <w:rFonts w:ascii="Times New Roman" w:hAnsi="Times New Roman"/>
      <w:b/>
      <w:sz w:val="22"/>
      <w:szCs w:val="24"/>
    </w:rPr>
  </w:style>
  <w:style w:type="character" w:customStyle="1" w:styleId="aff7">
    <w:name w:val="Подзаголовок Знак"/>
    <w:basedOn w:val="a2"/>
    <w:link w:val="aff6"/>
    <w:rsid w:val="002D3D3B"/>
    <w:rPr>
      <w:b/>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49671">
      <w:bodyDiv w:val="1"/>
      <w:marLeft w:val="0"/>
      <w:marRight w:val="0"/>
      <w:marTop w:val="0"/>
      <w:marBottom w:val="0"/>
      <w:divBdr>
        <w:top w:val="none" w:sz="0" w:space="0" w:color="auto"/>
        <w:left w:val="none" w:sz="0" w:space="0" w:color="auto"/>
        <w:bottom w:val="none" w:sz="0" w:space="0" w:color="auto"/>
        <w:right w:val="none" w:sz="0" w:space="0" w:color="auto"/>
      </w:divBdr>
    </w:div>
    <w:div w:id="350574094">
      <w:bodyDiv w:val="1"/>
      <w:marLeft w:val="0"/>
      <w:marRight w:val="0"/>
      <w:marTop w:val="0"/>
      <w:marBottom w:val="0"/>
      <w:divBdr>
        <w:top w:val="none" w:sz="0" w:space="0" w:color="auto"/>
        <w:left w:val="none" w:sz="0" w:space="0" w:color="auto"/>
        <w:bottom w:val="none" w:sz="0" w:space="0" w:color="auto"/>
        <w:right w:val="none" w:sz="0" w:space="0" w:color="auto"/>
      </w:divBdr>
    </w:div>
    <w:div w:id="365759917">
      <w:marLeft w:val="0"/>
      <w:marRight w:val="0"/>
      <w:marTop w:val="0"/>
      <w:marBottom w:val="0"/>
      <w:divBdr>
        <w:top w:val="none" w:sz="0" w:space="0" w:color="auto"/>
        <w:left w:val="none" w:sz="0" w:space="0" w:color="auto"/>
        <w:bottom w:val="none" w:sz="0" w:space="0" w:color="auto"/>
        <w:right w:val="none" w:sz="0" w:space="0" w:color="auto"/>
      </w:divBdr>
    </w:div>
    <w:div w:id="631055349">
      <w:bodyDiv w:val="1"/>
      <w:marLeft w:val="0"/>
      <w:marRight w:val="0"/>
      <w:marTop w:val="0"/>
      <w:marBottom w:val="0"/>
      <w:divBdr>
        <w:top w:val="none" w:sz="0" w:space="0" w:color="auto"/>
        <w:left w:val="none" w:sz="0" w:space="0" w:color="auto"/>
        <w:bottom w:val="none" w:sz="0" w:space="0" w:color="auto"/>
        <w:right w:val="none" w:sz="0" w:space="0" w:color="auto"/>
      </w:divBdr>
    </w:div>
    <w:div w:id="696466287">
      <w:bodyDiv w:val="1"/>
      <w:marLeft w:val="0"/>
      <w:marRight w:val="0"/>
      <w:marTop w:val="0"/>
      <w:marBottom w:val="0"/>
      <w:divBdr>
        <w:top w:val="none" w:sz="0" w:space="0" w:color="auto"/>
        <w:left w:val="none" w:sz="0" w:space="0" w:color="auto"/>
        <w:bottom w:val="none" w:sz="0" w:space="0" w:color="auto"/>
        <w:right w:val="none" w:sz="0" w:space="0" w:color="auto"/>
      </w:divBdr>
    </w:div>
    <w:div w:id="749274412">
      <w:bodyDiv w:val="1"/>
      <w:marLeft w:val="0"/>
      <w:marRight w:val="0"/>
      <w:marTop w:val="0"/>
      <w:marBottom w:val="0"/>
      <w:divBdr>
        <w:top w:val="none" w:sz="0" w:space="0" w:color="auto"/>
        <w:left w:val="none" w:sz="0" w:space="0" w:color="auto"/>
        <w:bottom w:val="none" w:sz="0" w:space="0" w:color="auto"/>
        <w:right w:val="none" w:sz="0" w:space="0" w:color="auto"/>
      </w:divBdr>
    </w:div>
    <w:div w:id="789667596">
      <w:bodyDiv w:val="1"/>
      <w:marLeft w:val="0"/>
      <w:marRight w:val="0"/>
      <w:marTop w:val="0"/>
      <w:marBottom w:val="0"/>
      <w:divBdr>
        <w:top w:val="none" w:sz="0" w:space="0" w:color="auto"/>
        <w:left w:val="none" w:sz="0" w:space="0" w:color="auto"/>
        <w:bottom w:val="none" w:sz="0" w:space="0" w:color="auto"/>
        <w:right w:val="none" w:sz="0" w:space="0" w:color="auto"/>
      </w:divBdr>
    </w:div>
    <w:div w:id="949969263">
      <w:bodyDiv w:val="1"/>
      <w:marLeft w:val="0"/>
      <w:marRight w:val="0"/>
      <w:marTop w:val="0"/>
      <w:marBottom w:val="0"/>
      <w:divBdr>
        <w:top w:val="none" w:sz="0" w:space="0" w:color="auto"/>
        <w:left w:val="none" w:sz="0" w:space="0" w:color="auto"/>
        <w:bottom w:val="none" w:sz="0" w:space="0" w:color="auto"/>
        <w:right w:val="none" w:sz="0" w:space="0" w:color="auto"/>
      </w:divBdr>
    </w:div>
    <w:div w:id="1193299761">
      <w:bodyDiv w:val="1"/>
      <w:marLeft w:val="0"/>
      <w:marRight w:val="0"/>
      <w:marTop w:val="0"/>
      <w:marBottom w:val="0"/>
      <w:divBdr>
        <w:top w:val="none" w:sz="0" w:space="0" w:color="auto"/>
        <w:left w:val="none" w:sz="0" w:space="0" w:color="auto"/>
        <w:bottom w:val="none" w:sz="0" w:space="0" w:color="auto"/>
        <w:right w:val="none" w:sz="0" w:space="0" w:color="auto"/>
      </w:divBdr>
    </w:div>
    <w:div w:id="1548102231">
      <w:bodyDiv w:val="1"/>
      <w:marLeft w:val="0"/>
      <w:marRight w:val="0"/>
      <w:marTop w:val="0"/>
      <w:marBottom w:val="0"/>
      <w:divBdr>
        <w:top w:val="none" w:sz="0" w:space="0" w:color="auto"/>
        <w:left w:val="none" w:sz="0" w:space="0" w:color="auto"/>
        <w:bottom w:val="none" w:sz="0" w:space="0" w:color="auto"/>
        <w:right w:val="none" w:sz="0" w:space="0" w:color="auto"/>
      </w:divBdr>
    </w:div>
    <w:div w:id="1638104523">
      <w:bodyDiv w:val="1"/>
      <w:marLeft w:val="0"/>
      <w:marRight w:val="0"/>
      <w:marTop w:val="0"/>
      <w:marBottom w:val="0"/>
      <w:divBdr>
        <w:top w:val="none" w:sz="0" w:space="0" w:color="auto"/>
        <w:left w:val="none" w:sz="0" w:space="0" w:color="auto"/>
        <w:bottom w:val="none" w:sz="0" w:space="0" w:color="auto"/>
        <w:right w:val="none" w:sz="0" w:space="0" w:color="auto"/>
      </w:divBdr>
    </w:div>
    <w:div w:id="1774403000">
      <w:bodyDiv w:val="1"/>
      <w:marLeft w:val="0"/>
      <w:marRight w:val="0"/>
      <w:marTop w:val="0"/>
      <w:marBottom w:val="0"/>
      <w:divBdr>
        <w:top w:val="none" w:sz="0" w:space="0" w:color="auto"/>
        <w:left w:val="none" w:sz="0" w:space="0" w:color="auto"/>
        <w:bottom w:val="none" w:sz="0" w:space="0" w:color="auto"/>
        <w:right w:val="none" w:sz="0" w:space="0" w:color="auto"/>
      </w:divBdr>
    </w:div>
    <w:div w:id="1808618500">
      <w:bodyDiv w:val="1"/>
      <w:marLeft w:val="0"/>
      <w:marRight w:val="0"/>
      <w:marTop w:val="0"/>
      <w:marBottom w:val="0"/>
      <w:divBdr>
        <w:top w:val="none" w:sz="0" w:space="0" w:color="auto"/>
        <w:left w:val="none" w:sz="0" w:space="0" w:color="auto"/>
        <w:bottom w:val="none" w:sz="0" w:space="0" w:color="auto"/>
        <w:right w:val="none" w:sz="0" w:space="0" w:color="auto"/>
      </w:divBdr>
    </w:div>
    <w:div w:id="207751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image" Target="media/image2.wmf"/><Relationship Id="rId42" Type="http://schemas.openxmlformats.org/officeDocument/2006/relationships/image" Target="media/image12.wmf"/><Relationship Id="rId47" Type="http://schemas.openxmlformats.org/officeDocument/2006/relationships/oleObject" Target="embeddings/oleObject13.bin"/><Relationship Id="rId63" Type="http://schemas.openxmlformats.org/officeDocument/2006/relationships/oleObject" Target="embeddings/oleObject21.bin"/><Relationship Id="rId68" Type="http://schemas.openxmlformats.org/officeDocument/2006/relationships/oleObject" Target="embeddings/oleObject25.bin"/><Relationship Id="rId84" Type="http://schemas.openxmlformats.org/officeDocument/2006/relationships/oleObject" Target="embeddings/oleObject35.bin"/><Relationship Id="rId89" Type="http://schemas.openxmlformats.org/officeDocument/2006/relationships/image" Target="media/image30.wmf"/><Relationship Id="rId7" Type="http://schemas.openxmlformats.org/officeDocument/2006/relationships/endnotes" Target="endnotes.xml"/><Relationship Id="rId71" Type="http://schemas.openxmlformats.org/officeDocument/2006/relationships/image" Target="media/image25.wmf"/><Relationship Id="rId92" Type="http://schemas.openxmlformats.org/officeDocument/2006/relationships/oleObject" Target="embeddings/oleObject42.bin"/><Relationship Id="rId2" Type="http://schemas.openxmlformats.org/officeDocument/2006/relationships/numbering" Target="numbering.xml"/><Relationship Id="rId16" Type="http://schemas.openxmlformats.org/officeDocument/2006/relationships/hyperlink" Target="https://www.fitchratings.com" TargetMode="External"/><Relationship Id="rId29" Type="http://schemas.openxmlformats.org/officeDocument/2006/relationships/oleObject" Target="embeddings/oleObject4.bin"/><Relationship Id="rId11" Type="http://schemas.openxmlformats.org/officeDocument/2006/relationships/hyperlink" Target="https://kad.arbitr.ru/" TargetMode="External"/><Relationship Id="rId24" Type="http://schemas.openxmlformats.org/officeDocument/2006/relationships/oleObject" Target="embeddings/oleObject2.bin"/><Relationship Id="rId32" Type="http://schemas.openxmlformats.org/officeDocument/2006/relationships/image" Target="media/image7.wmf"/><Relationship Id="rId37" Type="http://schemas.openxmlformats.org/officeDocument/2006/relationships/oleObject" Target="embeddings/oleObject8.bin"/><Relationship Id="rId40" Type="http://schemas.openxmlformats.org/officeDocument/2006/relationships/image" Target="media/image11.wmf"/><Relationship Id="rId45" Type="http://schemas.openxmlformats.org/officeDocument/2006/relationships/oleObject" Target="embeddings/oleObject12.bin"/><Relationship Id="rId53" Type="http://schemas.openxmlformats.org/officeDocument/2006/relationships/image" Target="media/image18.wmf"/><Relationship Id="rId58" Type="http://schemas.openxmlformats.org/officeDocument/2006/relationships/oleObject" Target="embeddings/oleObject18.bin"/><Relationship Id="rId66" Type="http://schemas.openxmlformats.org/officeDocument/2006/relationships/oleObject" Target="embeddings/oleObject23.bin"/><Relationship Id="rId74" Type="http://schemas.openxmlformats.org/officeDocument/2006/relationships/image" Target="media/image26.wmf"/><Relationship Id="rId79" Type="http://schemas.openxmlformats.org/officeDocument/2006/relationships/oleObject" Target="embeddings/oleObject31.bin"/><Relationship Id="rId87" Type="http://schemas.openxmlformats.org/officeDocument/2006/relationships/oleObject" Target="embeddings/oleObject38.bin"/><Relationship Id="rId102" Type="http://schemas.openxmlformats.org/officeDocument/2006/relationships/image" Target="media/image35.wmf"/><Relationship Id="rId5" Type="http://schemas.openxmlformats.org/officeDocument/2006/relationships/webSettings" Target="webSettings.xml"/><Relationship Id="rId61" Type="http://schemas.openxmlformats.org/officeDocument/2006/relationships/image" Target="media/image22.wmf"/><Relationship Id="rId82" Type="http://schemas.openxmlformats.org/officeDocument/2006/relationships/oleObject" Target="embeddings/oleObject33.bin"/><Relationship Id="rId90" Type="http://schemas.openxmlformats.org/officeDocument/2006/relationships/oleObject" Target="embeddings/oleObject40.bin"/><Relationship Id="rId95" Type="http://schemas.openxmlformats.org/officeDocument/2006/relationships/image" Target="media/image32.png"/><Relationship Id="rId19" Type="http://schemas.openxmlformats.org/officeDocument/2006/relationships/hyperlink" Target="https://bankrot.fedresurs.ru" TargetMode="External"/><Relationship Id="rId14" Type="http://schemas.openxmlformats.org/officeDocument/2006/relationships/hyperlink" Target="https://www.acra-ratings.ru/" TargetMode="External"/><Relationship Id="rId22" Type="http://schemas.openxmlformats.org/officeDocument/2006/relationships/oleObject" Target="embeddings/oleObject1.bin"/><Relationship Id="rId27" Type="http://schemas.openxmlformats.org/officeDocument/2006/relationships/hyperlink" Target="http://www.cbr.ru/statistics/?PrtId=int_rat" TargetMode="External"/><Relationship Id="rId30" Type="http://schemas.openxmlformats.org/officeDocument/2006/relationships/image" Target="media/image6.wmf"/><Relationship Id="rId35" Type="http://schemas.openxmlformats.org/officeDocument/2006/relationships/oleObject" Target="embeddings/oleObject7.bin"/><Relationship Id="rId43" Type="http://schemas.openxmlformats.org/officeDocument/2006/relationships/oleObject" Target="embeddings/oleObject11.bin"/><Relationship Id="rId48" Type="http://schemas.openxmlformats.org/officeDocument/2006/relationships/image" Target="media/image15.wmf"/><Relationship Id="rId56" Type="http://schemas.openxmlformats.org/officeDocument/2006/relationships/oleObject" Target="embeddings/oleObject17.bin"/><Relationship Id="rId64" Type="http://schemas.openxmlformats.org/officeDocument/2006/relationships/image" Target="media/image23.wmf"/><Relationship Id="rId69" Type="http://schemas.openxmlformats.org/officeDocument/2006/relationships/image" Target="media/image24.wmf"/><Relationship Id="rId77" Type="http://schemas.openxmlformats.org/officeDocument/2006/relationships/oleObject" Target="embeddings/oleObject30.bin"/><Relationship Id="rId100" Type="http://schemas.openxmlformats.org/officeDocument/2006/relationships/oleObject" Target="embeddings/oleObject46.bin"/><Relationship Id="rId105"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oleObject" Target="embeddings/oleObject15.bin"/><Relationship Id="rId72" Type="http://schemas.openxmlformats.org/officeDocument/2006/relationships/oleObject" Target="embeddings/oleObject27.bin"/><Relationship Id="rId80" Type="http://schemas.openxmlformats.org/officeDocument/2006/relationships/image" Target="media/image29.wmf"/><Relationship Id="rId85" Type="http://schemas.openxmlformats.org/officeDocument/2006/relationships/oleObject" Target="embeddings/oleObject36.bin"/><Relationship Id="rId93" Type="http://schemas.openxmlformats.org/officeDocument/2006/relationships/image" Target="media/image31.wmf"/><Relationship Id="rId98" Type="http://schemas.openxmlformats.org/officeDocument/2006/relationships/oleObject" Target="embeddings/oleObject45.bin"/><Relationship Id="rId3" Type="http://schemas.openxmlformats.org/officeDocument/2006/relationships/styles" Target="styles.xml"/><Relationship Id="rId12" Type="http://schemas.openxmlformats.org/officeDocument/2006/relationships/hyperlink" Target="https://bankrot.fedresurs.ru" TargetMode="External"/><Relationship Id="rId17" Type="http://schemas.openxmlformats.org/officeDocument/2006/relationships/hyperlink" Target="http://www.gks.ru/accounting_report" TargetMode="External"/><Relationship Id="rId25" Type="http://schemas.openxmlformats.org/officeDocument/2006/relationships/image" Target="media/image4.wmf"/><Relationship Id="rId33" Type="http://schemas.openxmlformats.org/officeDocument/2006/relationships/oleObject" Target="embeddings/oleObject6.bin"/><Relationship Id="rId38" Type="http://schemas.openxmlformats.org/officeDocument/2006/relationships/image" Target="media/image10.wmf"/><Relationship Id="rId46" Type="http://schemas.openxmlformats.org/officeDocument/2006/relationships/image" Target="media/image14.wmf"/><Relationship Id="rId59" Type="http://schemas.openxmlformats.org/officeDocument/2006/relationships/image" Target="media/image21.wmf"/><Relationship Id="rId67" Type="http://schemas.openxmlformats.org/officeDocument/2006/relationships/oleObject" Target="embeddings/oleObject24.bin"/><Relationship Id="rId103" Type="http://schemas.openxmlformats.org/officeDocument/2006/relationships/oleObject" Target="embeddings/oleObject47.bin"/><Relationship Id="rId20" Type="http://schemas.openxmlformats.org/officeDocument/2006/relationships/hyperlink" Target="https://bankruptcy.kommersant.ru" TargetMode="External"/><Relationship Id="rId41" Type="http://schemas.openxmlformats.org/officeDocument/2006/relationships/oleObject" Target="embeddings/oleObject10.bin"/><Relationship Id="rId54" Type="http://schemas.openxmlformats.org/officeDocument/2006/relationships/oleObject" Target="embeddings/oleObject16.bin"/><Relationship Id="rId62" Type="http://schemas.openxmlformats.org/officeDocument/2006/relationships/oleObject" Target="embeddings/oleObject20.bin"/><Relationship Id="rId70" Type="http://schemas.openxmlformats.org/officeDocument/2006/relationships/oleObject" Target="embeddings/oleObject26.bin"/><Relationship Id="rId75" Type="http://schemas.openxmlformats.org/officeDocument/2006/relationships/oleObject" Target="embeddings/oleObject29.bin"/><Relationship Id="rId83" Type="http://schemas.openxmlformats.org/officeDocument/2006/relationships/oleObject" Target="embeddings/oleObject34.bin"/><Relationship Id="rId88" Type="http://schemas.openxmlformats.org/officeDocument/2006/relationships/oleObject" Target="embeddings/oleObject39.bin"/><Relationship Id="rId91" Type="http://schemas.openxmlformats.org/officeDocument/2006/relationships/oleObject" Target="embeddings/oleObject41.bin"/><Relationship Id="rId96" Type="http://schemas.openxmlformats.org/officeDocument/2006/relationships/image" Target="media/image33.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aexpert.ru/" TargetMode="External"/><Relationship Id="rId23" Type="http://schemas.openxmlformats.org/officeDocument/2006/relationships/image" Target="media/image3.wmf"/><Relationship Id="rId28" Type="http://schemas.openxmlformats.org/officeDocument/2006/relationships/image" Target="media/image5.wmf"/><Relationship Id="rId36" Type="http://schemas.openxmlformats.org/officeDocument/2006/relationships/image" Target="media/image9.wmf"/><Relationship Id="rId49" Type="http://schemas.openxmlformats.org/officeDocument/2006/relationships/oleObject" Target="embeddings/oleObject14.bin"/><Relationship Id="rId57" Type="http://schemas.openxmlformats.org/officeDocument/2006/relationships/image" Target="media/image20.wmf"/><Relationship Id="rId106" Type="http://schemas.openxmlformats.org/officeDocument/2006/relationships/theme" Target="theme/theme1.xml"/><Relationship Id="rId10" Type="http://schemas.openxmlformats.org/officeDocument/2006/relationships/hyperlink" Target="https://www.moex.com/" TargetMode="External"/><Relationship Id="rId31" Type="http://schemas.openxmlformats.org/officeDocument/2006/relationships/oleObject" Target="embeddings/oleObject5.bin"/><Relationship Id="rId44" Type="http://schemas.openxmlformats.org/officeDocument/2006/relationships/image" Target="media/image13.wmf"/><Relationship Id="rId52" Type="http://schemas.openxmlformats.org/officeDocument/2006/relationships/image" Target="media/image17.png"/><Relationship Id="rId60" Type="http://schemas.openxmlformats.org/officeDocument/2006/relationships/oleObject" Target="embeddings/oleObject19.bin"/><Relationship Id="rId65" Type="http://schemas.openxmlformats.org/officeDocument/2006/relationships/oleObject" Target="embeddings/oleObject22.bin"/><Relationship Id="rId73" Type="http://schemas.openxmlformats.org/officeDocument/2006/relationships/oleObject" Target="embeddings/oleObject28.bin"/><Relationship Id="rId78" Type="http://schemas.openxmlformats.org/officeDocument/2006/relationships/image" Target="media/image28.wmf"/><Relationship Id="rId81" Type="http://schemas.openxmlformats.org/officeDocument/2006/relationships/oleObject" Target="embeddings/oleObject32.bin"/><Relationship Id="rId86" Type="http://schemas.openxmlformats.org/officeDocument/2006/relationships/oleObject" Target="embeddings/oleObject37.bin"/><Relationship Id="rId94" Type="http://schemas.openxmlformats.org/officeDocument/2006/relationships/oleObject" Target="embeddings/oleObject43.bin"/><Relationship Id="rId99" Type="http://schemas.openxmlformats.org/officeDocument/2006/relationships/image" Target="media/image34.wmf"/><Relationship Id="rId101" Type="http://schemas.openxmlformats.org/officeDocument/2006/relationships/hyperlink" Target="https://www.spratings.com/documents/20184/774196/2016+Annual+Global+Corporate+Default+Study+And+Rating+Transitions.pdf/2ddcf9dd-3b82-4151-9dab-8e3fc70a7035" TargetMode="External"/><Relationship Id="rId4" Type="http://schemas.openxmlformats.org/officeDocument/2006/relationships/settings" Target="settings.xml"/><Relationship Id="rId9" Type="http://schemas.openxmlformats.org/officeDocument/2006/relationships/hyperlink" Target="https://www.e-disclosure.ru/" TargetMode="External"/><Relationship Id="rId13" Type="http://schemas.openxmlformats.org/officeDocument/2006/relationships/hyperlink" Target="https://fedresurs.ru" TargetMode="External"/><Relationship Id="rId18" Type="http://schemas.openxmlformats.org/officeDocument/2006/relationships/hyperlink" Target="https://kad.arbitr.ru/" TargetMode="External"/><Relationship Id="rId39" Type="http://schemas.openxmlformats.org/officeDocument/2006/relationships/oleObject" Target="embeddings/oleObject9.bin"/><Relationship Id="rId34" Type="http://schemas.openxmlformats.org/officeDocument/2006/relationships/image" Target="media/image8.wmf"/><Relationship Id="rId50" Type="http://schemas.openxmlformats.org/officeDocument/2006/relationships/image" Target="media/image16.wmf"/><Relationship Id="rId55" Type="http://schemas.openxmlformats.org/officeDocument/2006/relationships/image" Target="media/image19.wmf"/><Relationship Id="rId76" Type="http://schemas.openxmlformats.org/officeDocument/2006/relationships/image" Target="media/image27.wmf"/><Relationship Id="rId97" Type="http://schemas.openxmlformats.org/officeDocument/2006/relationships/oleObject" Target="embeddings/oleObject44.bin"/><Relationship Id="rId10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E785A-E4C9-4956-A260-E5F67711D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20317</Words>
  <Characters>115813</Characters>
  <Application>Microsoft Office Word</Application>
  <DocSecurity>0</DocSecurity>
  <Lines>965</Lines>
  <Paragraphs>271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4 к Правилам</vt:lpstr>
      <vt:lpstr>Приложение № 4 к Правилам</vt:lpstr>
    </vt:vector>
  </TitlesOfParts>
  <Company>UralSib</Company>
  <LinksUpToDate>false</LinksUpToDate>
  <CharactersWithSpaces>135859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 к Правилам</dc:title>
  <dc:creator>Ковригин Василий Николаевич</dc:creator>
  <cp:lastModifiedBy>Микурова Дарья Андреевна</cp:lastModifiedBy>
  <cp:revision>6</cp:revision>
  <cp:lastPrinted>2019-03-26T08:14:00Z</cp:lastPrinted>
  <dcterms:created xsi:type="dcterms:W3CDTF">2021-06-21T15:11:00Z</dcterms:created>
  <dcterms:modified xsi:type="dcterms:W3CDTF">2021-06-22T09:00:00Z</dcterms:modified>
</cp:coreProperties>
</file>