
<file path=[Content_Types].xml><?xml version="1.0" encoding="utf-8"?>
<Types xmlns="http://schemas.openxmlformats.org/package/2006/content-types">
  <Default Extension="png" ContentType="image/png"/>
  <Default Extension="bin" ContentType="application/vnd.openxmlformats-officedocument.oleObject"/>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3C8D195" w14:textId="77777777" w:rsidR="000C1E0E" w:rsidRDefault="002F1A78" w:rsidP="000C1E0E">
      <w:pPr>
        <w:spacing w:line="240" w:lineRule="auto"/>
        <w:ind w:left="4536"/>
        <w:jc w:val="left"/>
        <w:rPr>
          <w:rFonts w:ascii="Times New Roman" w:hAnsi="Times New Roman"/>
          <w:sz w:val="24"/>
          <w:szCs w:val="24"/>
        </w:rPr>
      </w:pPr>
      <w:r w:rsidRPr="00142075">
        <w:rPr>
          <w:rFonts w:ascii="Times New Roman" w:hAnsi="Times New Roman"/>
          <w:sz w:val="24"/>
          <w:szCs w:val="24"/>
        </w:rPr>
        <w:t xml:space="preserve">                                                                              </w:t>
      </w:r>
      <w:r w:rsidR="000C1E0E">
        <w:rPr>
          <w:rFonts w:ascii="Times New Roman" w:hAnsi="Times New Roman"/>
          <w:sz w:val="24"/>
          <w:szCs w:val="24"/>
        </w:rPr>
        <w:t xml:space="preserve">Утверждены </w:t>
      </w:r>
    </w:p>
    <w:p w14:paraId="7A1D3D0F" w14:textId="3F2E7476" w:rsidR="000C1E0E" w:rsidRDefault="00C375C8" w:rsidP="000C1E0E">
      <w:pPr>
        <w:spacing w:line="240" w:lineRule="auto"/>
        <w:ind w:left="4536"/>
        <w:jc w:val="left"/>
        <w:rPr>
          <w:rFonts w:ascii="Times New Roman" w:hAnsi="Times New Roman"/>
          <w:sz w:val="24"/>
          <w:szCs w:val="24"/>
        </w:rPr>
      </w:pPr>
      <w:r>
        <w:rPr>
          <w:rFonts w:ascii="Times New Roman" w:hAnsi="Times New Roman"/>
          <w:sz w:val="24"/>
          <w:szCs w:val="24"/>
        </w:rPr>
        <w:t xml:space="preserve">приказом </w:t>
      </w:r>
      <w:r w:rsidR="000C1E0E">
        <w:rPr>
          <w:rFonts w:ascii="Times New Roman" w:hAnsi="Times New Roman"/>
          <w:sz w:val="24"/>
          <w:szCs w:val="24"/>
        </w:rPr>
        <w:t xml:space="preserve">Генерального директора </w:t>
      </w:r>
    </w:p>
    <w:p w14:paraId="4EBC5E76" w14:textId="08CA5159" w:rsidR="000C1E0E" w:rsidRDefault="000C1E0E" w:rsidP="000C1E0E">
      <w:pPr>
        <w:spacing w:line="240" w:lineRule="auto"/>
        <w:ind w:left="4536"/>
        <w:jc w:val="left"/>
        <w:rPr>
          <w:rFonts w:ascii="Times New Roman" w:hAnsi="Times New Roman"/>
          <w:sz w:val="24"/>
          <w:szCs w:val="24"/>
        </w:rPr>
      </w:pPr>
      <w:r>
        <w:rPr>
          <w:rFonts w:ascii="Times New Roman" w:hAnsi="Times New Roman"/>
          <w:sz w:val="24"/>
          <w:szCs w:val="24"/>
        </w:rPr>
        <w:t xml:space="preserve">АО «УК УРАЛСИБ»                                                                                   от </w:t>
      </w:r>
      <w:r w:rsidR="00C375C8">
        <w:rPr>
          <w:rFonts w:ascii="Times New Roman" w:hAnsi="Times New Roman"/>
          <w:sz w:val="24"/>
          <w:szCs w:val="24"/>
        </w:rPr>
        <w:t>22</w:t>
      </w:r>
      <w:r>
        <w:rPr>
          <w:rFonts w:ascii="Times New Roman" w:hAnsi="Times New Roman"/>
          <w:sz w:val="24"/>
          <w:szCs w:val="24"/>
        </w:rPr>
        <w:t xml:space="preserve"> </w:t>
      </w:r>
      <w:r w:rsidR="00C375C8">
        <w:rPr>
          <w:rFonts w:ascii="Times New Roman" w:hAnsi="Times New Roman"/>
          <w:sz w:val="24"/>
          <w:szCs w:val="24"/>
        </w:rPr>
        <w:t>июня</w:t>
      </w:r>
      <w:r>
        <w:rPr>
          <w:rFonts w:ascii="Times New Roman" w:hAnsi="Times New Roman"/>
          <w:sz w:val="24"/>
          <w:szCs w:val="24"/>
        </w:rPr>
        <w:t xml:space="preserve"> 202</w:t>
      </w:r>
      <w:r w:rsidR="00C375C8">
        <w:rPr>
          <w:rFonts w:ascii="Times New Roman" w:hAnsi="Times New Roman"/>
          <w:sz w:val="24"/>
          <w:szCs w:val="24"/>
        </w:rPr>
        <w:t>1</w:t>
      </w:r>
      <w:r>
        <w:rPr>
          <w:rFonts w:ascii="Times New Roman" w:hAnsi="Times New Roman"/>
          <w:sz w:val="24"/>
          <w:szCs w:val="24"/>
        </w:rPr>
        <w:t xml:space="preserve"> №</w:t>
      </w:r>
      <w:r w:rsidR="008F6243">
        <w:rPr>
          <w:rFonts w:ascii="Times New Roman" w:hAnsi="Times New Roman"/>
          <w:sz w:val="24"/>
          <w:szCs w:val="24"/>
        </w:rPr>
        <w:t xml:space="preserve"> </w:t>
      </w:r>
      <w:r w:rsidR="006E592C" w:rsidRPr="006E592C">
        <w:rPr>
          <w:rFonts w:ascii="Times New Roman" w:hAnsi="Times New Roman"/>
          <w:sz w:val="24"/>
          <w:szCs w:val="24"/>
        </w:rPr>
        <w:t>2206-ПИФ-01/2021</w:t>
      </w:r>
    </w:p>
    <w:p w14:paraId="2B80B201" w14:textId="366C6BD7" w:rsidR="000C1E0E" w:rsidRDefault="00C375C8" w:rsidP="000C1E0E">
      <w:pPr>
        <w:spacing w:line="240" w:lineRule="auto"/>
        <w:ind w:left="4536"/>
        <w:jc w:val="left"/>
        <w:rPr>
          <w:rFonts w:ascii="Times New Roman" w:hAnsi="Times New Roman"/>
          <w:sz w:val="24"/>
          <w:szCs w:val="24"/>
        </w:rPr>
      </w:pPr>
      <w:r>
        <w:rPr>
          <w:rFonts w:ascii="Times New Roman" w:hAnsi="Times New Roman"/>
          <w:sz w:val="24"/>
          <w:szCs w:val="24"/>
        </w:rPr>
        <w:t>«22</w:t>
      </w:r>
      <w:r w:rsidR="000C1E0E">
        <w:rPr>
          <w:rFonts w:ascii="Times New Roman" w:hAnsi="Times New Roman"/>
          <w:sz w:val="24"/>
          <w:szCs w:val="24"/>
        </w:rPr>
        <w:t xml:space="preserve">» </w:t>
      </w:r>
      <w:r>
        <w:rPr>
          <w:rFonts w:ascii="Times New Roman" w:hAnsi="Times New Roman"/>
          <w:sz w:val="24"/>
          <w:szCs w:val="24"/>
        </w:rPr>
        <w:t>июня</w:t>
      </w:r>
      <w:r w:rsidR="000C1E0E">
        <w:rPr>
          <w:rFonts w:ascii="Times New Roman" w:hAnsi="Times New Roman"/>
          <w:sz w:val="24"/>
          <w:szCs w:val="24"/>
        </w:rPr>
        <w:t xml:space="preserve"> 202</w:t>
      </w:r>
      <w:r>
        <w:rPr>
          <w:rFonts w:ascii="Times New Roman" w:hAnsi="Times New Roman"/>
          <w:sz w:val="24"/>
          <w:szCs w:val="24"/>
        </w:rPr>
        <w:t>1</w:t>
      </w:r>
      <w:r w:rsidR="000C1E0E">
        <w:rPr>
          <w:rFonts w:ascii="Times New Roman" w:hAnsi="Times New Roman"/>
          <w:sz w:val="24"/>
          <w:szCs w:val="24"/>
        </w:rPr>
        <w:t xml:space="preserve"> г.</w:t>
      </w:r>
    </w:p>
    <w:p w14:paraId="0339A1BD" w14:textId="77777777" w:rsidR="000C1E0E" w:rsidRDefault="000C1E0E" w:rsidP="000C1E0E">
      <w:pPr>
        <w:spacing w:line="240" w:lineRule="auto"/>
        <w:ind w:left="4536"/>
        <w:jc w:val="left"/>
        <w:rPr>
          <w:rFonts w:ascii="Times New Roman" w:hAnsi="Times New Roman"/>
          <w:sz w:val="24"/>
          <w:szCs w:val="24"/>
        </w:rPr>
      </w:pPr>
    </w:p>
    <w:p w14:paraId="54FE8D2D" w14:textId="77777777" w:rsidR="000C1E0E" w:rsidRDefault="000C1E0E" w:rsidP="000C1E0E">
      <w:pPr>
        <w:spacing w:line="240" w:lineRule="auto"/>
        <w:ind w:left="4536"/>
        <w:jc w:val="left"/>
        <w:rPr>
          <w:rFonts w:ascii="Times New Roman" w:hAnsi="Times New Roman"/>
          <w:sz w:val="24"/>
          <w:szCs w:val="24"/>
        </w:rPr>
      </w:pPr>
      <w:r>
        <w:rPr>
          <w:rFonts w:ascii="Times New Roman" w:hAnsi="Times New Roman"/>
          <w:sz w:val="24"/>
          <w:szCs w:val="24"/>
        </w:rPr>
        <w:t>А.Ф. Галимнуров ____________</w:t>
      </w:r>
    </w:p>
    <w:p w14:paraId="447AD60F" w14:textId="77777777" w:rsidR="000C1E0E" w:rsidRDefault="000C1E0E" w:rsidP="000C1E0E">
      <w:pPr>
        <w:spacing w:line="240" w:lineRule="auto"/>
        <w:ind w:left="4536"/>
        <w:jc w:val="left"/>
        <w:rPr>
          <w:rFonts w:ascii="Times New Roman" w:hAnsi="Times New Roman"/>
          <w:sz w:val="24"/>
          <w:szCs w:val="24"/>
        </w:rPr>
      </w:pPr>
    </w:p>
    <w:p w14:paraId="3772DEB5" w14:textId="77777777" w:rsidR="000C1E0E" w:rsidRDefault="000C1E0E" w:rsidP="000C1E0E">
      <w:pPr>
        <w:spacing w:line="240" w:lineRule="auto"/>
        <w:ind w:left="4536"/>
        <w:jc w:val="left"/>
        <w:rPr>
          <w:rFonts w:ascii="Times New Roman" w:hAnsi="Times New Roman"/>
          <w:sz w:val="24"/>
          <w:szCs w:val="24"/>
        </w:rPr>
      </w:pPr>
      <w:r>
        <w:rPr>
          <w:rFonts w:ascii="Times New Roman" w:hAnsi="Times New Roman"/>
          <w:sz w:val="24"/>
          <w:szCs w:val="24"/>
        </w:rPr>
        <w:t>Согласовано</w:t>
      </w:r>
    </w:p>
    <w:p w14:paraId="4CD696C0" w14:textId="77777777" w:rsidR="000C1E0E" w:rsidRDefault="000C1E0E" w:rsidP="000C1E0E">
      <w:pPr>
        <w:spacing w:line="240" w:lineRule="auto"/>
        <w:ind w:left="4536"/>
        <w:jc w:val="left"/>
        <w:rPr>
          <w:rFonts w:ascii="Times New Roman" w:hAnsi="Times New Roman"/>
          <w:sz w:val="24"/>
          <w:szCs w:val="24"/>
        </w:rPr>
      </w:pPr>
      <w:r>
        <w:rPr>
          <w:rFonts w:ascii="Times New Roman" w:hAnsi="Times New Roman"/>
          <w:sz w:val="24"/>
          <w:szCs w:val="24"/>
        </w:rPr>
        <w:t>Генеральный директор АО «НСД»</w:t>
      </w:r>
    </w:p>
    <w:p w14:paraId="5F622B26" w14:textId="77777777" w:rsidR="000C1E0E" w:rsidRDefault="000C1E0E" w:rsidP="000C1E0E">
      <w:pPr>
        <w:spacing w:line="240" w:lineRule="auto"/>
        <w:ind w:left="4536"/>
        <w:jc w:val="left"/>
        <w:rPr>
          <w:rFonts w:ascii="Times New Roman" w:hAnsi="Times New Roman"/>
          <w:sz w:val="24"/>
          <w:szCs w:val="24"/>
        </w:rPr>
      </w:pPr>
    </w:p>
    <w:p w14:paraId="541E441E" w14:textId="2CBE218B" w:rsidR="000C1E0E" w:rsidRDefault="00C375C8" w:rsidP="000C1E0E">
      <w:pPr>
        <w:spacing w:line="240" w:lineRule="auto"/>
        <w:ind w:left="4536"/>
        <w:jc w:val="left"/>
        <w:rPr>
          <w:rFonts w:ascii="Times New Roman" w:hAnsi="Times New Roman"/>
          <w:sz w:val="24"/>
          <w:szCs w:val="24"/>
        </w:rPr>
      </w:pPr>
      <w:r>
        <w:rPr>
          <w:rFonts w:ascii="Times New Roman" w:hAnsi="Times New Roman"/>
          <w:sz w:val="24"/>
          <w:szCs w:val="24"/>
        </w:rPr>
        <w:t>«22</w:t>
      </w:r>
      <w:r w:rsidR="000C1E0E">
        <w:rPr>
          <w:rFonts w:ascii="Times New Roman" w:hAnsi="Times New Roman"/>
          <w:sz w:val="24"/>
          <w:szCs w:val="24"/>
        </w:rPr>
        <w:t xml:space="preserve">» </w:t>
      </w:r>
      <w:r>
        <w:rPr>
          <w:rFonts w:ascii="Times New Roman" w:hAnsi="Times New Roman"/>
          <w:sz w:val="24"/>
          <w:szCs w:val="24"/>
        </w:rPr>
        <w:t>июня</w:t>
      </w:r>
      <w:r w:rsidR="000C1E0E">
        <w:rPr>
          <w:rFonts w:ascii="Times New Roman" w:hAnsi="Times New Roman"/>
          <w:sz w:val="24"/>
          <w:szCs w:val="24"/>
        </w:rPr>
        <w:t xml:space="preserve"> 202</w:t>
      </w:r>
      <w:r>
        <w:rPr>
          <w:rFonts w:ascii="Times New Roman" w:hAnsi="Times New Roman"/>
          <w:sz w:val="24"/>
          <w:szCs w:val="24"/>
        </w:rPr>
        <w:t>1</w:t>
      </w:r>
      <w:r w:rsidR="000C1E0E">
        <w:rPr>
          <w:rFonts w:ascii="Times New Roman" w:hAnsi="Times New Roman"/>
          <w:sz w:val="24"/>
          <w:szCs w:val="24"/>
        </w:rPr>
        <w:t xml:space="preserve"> г.</w:t>
      </w:r>
    </w:p>
    <w:p w14:paraId="282821A5" w14:textId="77777777" w:rsidR="000C1E0E" w:rsidRDefault="000C1E0E" w:rsidP="000C1E0E">
      <w:pPr>
        <w:spacing w:line="240" w:lineRule="auto"/>
        <w:ind w:left="4536"/>
        <w:jc w:val="left"/>
        <w:rPr>
          <w:rFonts w:ascii="Times New Roman" w:hAnsi="Times New Roman"/>
          <w:sz w:val="24"/>
          <w:szCs w:val="24"/>
        </w:rPr>
      </w:pPr>
    </w:p>
    <w:p w14:paraId="269F7C41" w14:textId="77777777" w:rsidR="000C1E0E" w:rsidRDefault="000C1E0E" w:rsidP="000C1E0E">
      <w:pPr>
        <w:spacing w:line="240" w:lineRule="auto"/>
        <w:ind w:left="4536"/>
        <w:jc w:val="left"/>
        <w:rPr>
          <w:rFonts w:ascii="Times New Roman" w:hAnsi="Times New Roman"/>
          <w:sz w:val="24"/>
          <w:szCs w:val="24"/>
        </w:rPr>
      </w:pPr>
      <w:r>
        <w:rPr>
          <w:rFonts w:ascii="Times New Roman" w:hAnsi="Times New Roman"/>
          <w:sz w:val="24"/>
          <w:szCs w:val="24"/>
        </w:rPr>
        <w:t>М.В. Черемисина ___________</w:t>
      </w:r>
    </w:p>
    <w:p w14:paraId="23E4A52B" w14:textId="0127ED57" w:rsidR="008F177D" w:rsidRPr="006821A9" w:rsidRDefault="008F177D" w:rsidP="000C1E0E">
      <w:pPr>
        <w:spacing w:line="240" w:lineRule="auto"/>
        <w:ind w:left="5670"/>
        <w:rPr>
          <w:rFonts w:ascii="Times New Roman" w:hAnsi="Times New Roman"/>
          <w:b/>
          <w:sz w:val="24"/>
          <w:szCs w:val="24"/>
        </w:rPr>
      </w:pPr>
    </w:p>
    <w:p w14:paraId="15A11B1F" w14:textId="77777777" w:rsidR="00082243" w:rsidRPr="006821A9" w:rsidRDefault="00082243" w:rsidP="005A5E8A">
      <w:pPr>
        <w:spacing w:line="240" w:lineRule="auto"/>
        <w:jc w:val="right"/>
        <w:rPr>
          <w:rFonts w:ascii="Times New Roman" w:hAnsi="Times New Roman"/>
          <w:b/>
          <w:sz w:val="24"/>
          <w:szCs w:val="24"/>
        </w:rPr>
      </w:pPr>
    </w:p>
    <w:p w14:paraId="609A2616" w14:textId="52BAEB22" w:rsidR="00B53288" w:rsidRPr="00792F3B" w:rsidRDefault="00115C9F" w:rsidP="00B53288">
      <w:pPr>
        <w:pStyle w:val="ConsPlusNormal"/>
        <w:ind w:right="-159" w:firstLine="540"/>
        <w:jc w:val="center"/>
        <w:rPr>
          <w:rFonts w:ascii="Times New Roman" w:hAnsi="Times New Roman" w:cs="Times New Roman"/>
          <w:b/>
          <w:sz w:val="24"/>
          <w:szCs w:val="24"/>
        </w:rPr>
      </w:pPr>
      <w:r w:rsidRPr="006821A9">
        <w:rPr>
          <w:rFonts w:ascii="Times New Roman" w:hAnsi="Times New Roman" w:cs="Times New Roman"/>
          <w:b/>
          <w:sz w:val="24"/>
          <w:szCs w:val="24"/>
        </w:rPr>
        <w:t>Изменения и дополнения</w:t>
      </w:r>
      <w:r w:rsidR="00A61034" w:rsidRPr="006821A9">
        <w:rPr>
          <w:rFonts w:ascii="Times New Roman" w:hAnsi="Times New Roman" w:cs="Times New Roman"/>
          <w:b/>
          <w:sz w:val="24"/>
          <w:szCs w:val="24"/>
        </w:rPr>
        <w:t xml:space="preserve"> </w:t>
      </w:r>
      <w:r w:rsidRPr="006821A9">
        <w:rPr>
          <w:rFonts w:ascii="Times New Roman" w:hAnsi="Times New Roman" w:cs="Times New Roman"/>
          <w:b/>
          <w:sz w:val="24"/>
          <w:szCs w:val="24"/>
        </w:rPr>
        <w:t xml:space="preserve">в </w:t>
      </w:r>
      <w:r w:rsidR="00B53288" w:rsidRPr="006821A9">
        <w:rPr>
          <w:rFonts w:ascii="Times New Roman" w:hAnsi="Times New Roman" w:cs="Times New Roman"/>
          <w:b/>
          <w:sz w:val="24"/>
          <w:szCs w:val="24"/>
        </w:rPr>
        <w:t xml:space="preserve">Правила определения стоимости чистых активов Открытого паевого инвестиционного фонда </w:t>
      </w:r>
      <w:r w:rsidR="0093588D" w:rsidRPr="006821A9">
        <w:rPr>
          <w:rFonts w:ascii="Times New Roman" w:hAnsi="Times New Roman" w:cs="Times New Roman"/>
          <w:b/>
          <w:sz w:val="24"/>
          <w:szCs w:val="24"/>
        </w:rPr>
        <w:t xml:space="preserve">рыночных финансовых </w:t>
      </w:r>
      <w:bookmarkStart w:id="0" w:name="_GoBack"/>
      <w:bookmarkEnd w:id="0"/>
      <w:r w:rsidR="00C74876" w:rsidRPr="006821A9">
        <w:rPr>
          <w:rFonts w:ascii="Times New Roman" w:hAnsi="Times New Roman" w:cs="Times New Roman"/>
          <w:b/>
          <w:sz w:val="24"/>
          <w:szCs w:val="24"/>
        </w:rPr>
        <w:t>инструментов</w:t>
      </w:r>
      <w:r w:rsidR="00C74876" w:rsidRPr="006821A9">
        <w:rPr>
          <w:rFonts w:ascii="Times New Roman" w:hAnsi="Times New Roman" w:cs="Times New Roman"/>
          <w:sz w:val="24"/>
          <w:szCs w:val="24"/>
        </w:rPr>
        <w:t xml:space="preserve"> </w:t>
      </w:r>
      <w:r w:rsidR="00C74876" w:rsidRPr="006821A9">
        <w:rPr>
          <w:rFonts w:ascii="Times New Roman" w:hAnsi="Times New Roman" w:cs="Times New Roman"/>
          <w:b/>
          <w:sz w:val="24"/>
          <w:szCs w:val="24"/>
        </w:rPr>
        <w:t>«</w:t>
      </w:r>
      <w:r w:rsidR="007A6F6E" w:rsidRPr="00792F3B">
        <w:rPr>
          <w:rFonts w:ascii="Times New Roman" w:hAnsi="Times New Roman" w:cs="Times New Roman"/>
          <w:b/>
          <w:sz w:val="24"/>
          <w:szCs w:val="24"/>
        </w:rPr>
        <w:t>УРАЛСИБ</w:t>
      </w:r>
      <w:r w:rsidR="007760D0" w:rsidRPr="007760D0">
        <w:rPr>
          <w:rFonts w:ascii="Times New Roman" w:hAnsi="Times New Roman" w:cs="Times New Roman"/>
          <w:b/>
          <w:sz w:val="24"/>
          <w:szCs w:val="24"/>
        </w:rPr>
        <w:t xml:space="preserve"> </w:t>
      </w:r>
      <w:r w:rsidR="00E426E0" w:rsidRPr="00E426E0">
        <w:rPr>
          <w:rFonts w:ascii="Times New Roman" w:hAnsi="Times New Roman" w:cs="Times New Roman"/>
          <w:b/>
          <w:sz w:val="24"/>
          <w:szCs w:val="24"/>
        </w:rPr>
        <w:t>Энергетическая перспектива</w:t>
      </w:r>
      <w:r w:rsidR="007A6F6E" w:rsidRPr="00792F3B">
        <w:rPr>
          <w:rFonts w:ascii="Times New Roman" w:hAnsi="Times New Roman" w:cs="Times New Roman"/>
          <w:b/>
          <w:sz w:val="24"/>
          <w:szCs w:val="24"/>
        </w:rPr>
        <w:t xml:space="preserve">» № </w:t>
      </w:r>
      <w:r w:rsidR="00792F3B" w:rsidRPr="00792F3B">
        <w:rPr>
          <w:rFonts w:ascii="Times New Roman" w:hAnsi="Times New Roman" w:cs="Times New Roman"/>
          <w:b/>
          <w:sz w:val="24"/>
          <w:szCs w:val="24"/>
        </w:rPr>
        <w:t>9</w:t>
      </w:r>
    </w:p>
    <w:p w14:paraId="14B4122E" w14:textId="77777777" w:rsidR="0024601A" w:rsidRPr="00792F3B" w:rsidRDefault="0024601A" w:rsidP="005A5E8A">
      <w:pPr>
        <w:pStyle w:val="ConsPlusNormal"/>
        <w:ind w:firstLine="0"/>
        <w:jc w:val="center"/>
        <w:rPr>
          <w:rFonts w:ascii="Times New Roman" w:hAnsi="Times New Roman" w:cs="Times New Roman"/>
          <w:b/>
          <w:sz w:val="24"/>
          <w:szCs w:val="24"/>
        </w:rPr>
      </w:pPr>
    </w:p>
    <w:p w14:paraId="7C73C5D4" w14:textId="6F5E0B6A" w:rsidR="008F177D" w:rsidRPr="00792F3B" w:rsidRDefault="00803892" w:rsidP="007A6F6E">
      <w:pPr>
        <w:spacing w:line="240" w:lineRule="auto"/>
        <w:ind w:firstLine="540"/>
        <w:rPr>
          <w:rFonts w:ascii="Times New Roman" w:hAnsi="Times New Roman"/>
          <w:sz w:val="24"/>
          <w:szCs w:val="24"/>
        </w:rPr>
      </w:pPr>
      <w:r w:rsidRPr="00792F3B">
        <w:rPr>
          <w:rFonts w:ascii="Times New Roman" w:hAnsi="Times New Roman"/>
          <w:sz w:val="24"/>
          <w:szCs w:val="24"/>
        </w:rPr>
        <w:t xml:space="preserve">Изложить Правила определения стоимости чистых активов Открытого паевого инвестиционного фонда </w:t>
      </w:r>
      <w:r w:rsidR="0093588D" w:rsidRPr="00792F3B">
        <w:rPr>
          <w:rFonts w:ascii="Times New Roman" w:hAnsi="Times New Roman"/>
          <w:sz w:val="24"/>
          <w:szCs w:val="24"/>
        </w:rPr>
        <w:t>рыночных финансовых инструментов</w:t>
      </w:r>
      <w:r w:rsidRPr="00792F3B">
        <w:rPr>
          <w:rFonts w:ascii="Times New Roman" w:hAnsi="Times New Roman"/>
          <w:sz w:val="24"/>
          <w:szCs w:val="24"/>
        </w:rPr>
        <w:t xml:space="preserve"> </w:t>
      </w:r>
      <w:r w:rsidR="007A6F6E" w:rsidRPr="00792F3B">
        <w:rPr>
          <w:rFonts w:ascii="Times New Roman" w:hAnsi="Times New Roman"/>
          <w:b/>
          <w:sz w:val="24"/>
          <w:szCs w:val="24"/>
        </w:rPr>
        <w:t>«УРАЛСИБ</w:t>
      </w:r>
      <w:r w:rsidR="009F2C02">
        <w:rPr>
          <w:rFonts w:ascii="Times New Roman" w:hAnsi="Times New Roman"/>
          <w:b/>
          <w:sz w:val="24"/>
          <w:szCs w:val="24"/>
        </w:rPr>
        <w:t xml:space="preserve"> </w:t>
      </w:r>
      <w:r w:rsidR="00E426E0" w:rsidRPr="00E426E0">
        <w:rPr>
          <w:rFonts w:ascii="Times New Roman" w:hAnsi="Times New Roman"/>
          <w:b/>
          <w:sz w:val="24"/>
          <w:szCs w:val="24"/>
        </w:rPr>
        <w:t>Энергетическая перспектива</w:t>
      </w:r>
      <w:r w:rsidR="007A6F6E" w:rsidRPr="00792F3B">
        <w:rPr>
          <w:rFonts w:ascii="Times New Roman" w:hAnsi="Times New Roman"/>
          <w:b/>
          <w:sz w:val="24"/>
          <w:szCs w:val="24"/>
        </w:rPr>
        <w:t>»</w:t>
      </w:r>
      <w:r w:rsidRPr="00792F3B">
        <w:rPr>
          <w:rFonts w:ascii="Times New Roman" w:hAnsi="Times New Roman"/>
          <w:sz w:val="24"/>
          <w:szCs w:val="24"/>
        </w:rPr>
        <w:t xml:space="preserve">  в следующей редакции:</w:t>
      </w:r>
      <w:r w:rsidR="00F80FE6" w:rsidRPr="00792F3B">
        <w:rPr>
          <w:rFonts w:ascii="Times New Roman" w:hAnsi="Times New Roman"/>
          <w:sz w:val="24"/>
          <w:szCs w:val="24"/>
        </w:rPr>
        <w:t xml:space="preserve"> </w:t>
      </w:r>
      <w:r w:rsidR="008F177D" w:rsidRPr="00792F3B">
        <w:rPr>
          <w:rFonts w:ascii="Times New Roman" w:hAnsi="Times New Roman"/>
          <w:sz w:val="24"/>
          <w:szCs w:val="24"/>
        </w:rPr>
        <w:t xml:space="preserve">Настоящие Правила определения стоимости чистых активов Открытого паевого инвестиционного фонда </w:t>
      </w:r>
      <w:r w:rsidR="0000433C" w:rsidRPr="00792F3B">
        <w:rPr>
          <w:rFonts w:ascii="Times New Roman" w:hAnsi="Times New Roman"/>
          <w:sz w:val="24"/>
          <w:szCs w:val="24"/>
        </w:rPr>
        <w:t>рыночных финансовых инструментов</w:t>
      </w:r>
      <w:r w:rsidR="008F177D" w:rsidRPr="00792F3B">
        <w:rPr>
          <w:rFonts w:ascii="Times New Roman" w:hAnsi="Times New Roman"/>
          <w:sz w:val="24"/>
          <w:szCs w:val="24"/>
        </w:rPr>
        <w:t xml:space="preserve"> </w:t>
      </w:r>
      <w:r w:rsidR="00641B9E">
        <w:rPr>
          <w:rFonts w:ascii="Times New Roman" w:hAnsi="Times New Roman"/>
          <w:b/>
          <w:sz w:val="24"/>
          <w:szCs w:val="24"/>
        </w:rPr>
        <w:t xml:space="preserve">«УРАЛСИБ </w:t>
      </w:r>
      <w:r w:rsidR="00E426E0" w:rsidRPr="00E426E0">
        <w:rPr>
          <w:rFonts w:ascii="Times New Roman" w:hAnsi="Times New Roman"/>
          <w:b/>
          <w:sz w:val="24"/>
          <w:szCs w:val="24"/>
        </w:rPr>
        <w:t>Энергетическая перспектива</w:t>
      </w:r>
      <w:r w:rsidR="007A6F6E" w:rsidRPr="00792F3B">
        <w:rPr>
          <w:rFonts w:ascii="Times New Roman" w:hAnsi="Times New Roman"/>
          <w:b/>
          <w:sz w:val="24"/>
          <w:szCs w:val="24"/>
        </w:rPr>
        <w:t>»</w:t>
      </w:r>
      <w:r w:rsidR="007A6F6E" w:rsidRPr="00792F3B">
        <w:rPr>
          <w:rFonts w:ascii="Times New Roman" w:hAnsi="Times New Roman"/>
          <w:sz w:val="24"/>
          <w:szCs w:val="24"/>
        </w:rPr>
        <w:t xml:space="preserve"> </w:t>
      </w:r>
      <w:r w:rsidR="008F177D" w:rsidRPr="00792F3B">
        <w:rPr>
          <w:rFonts w:ascii="Times New Roman" w:hAnsi="Times New Roman"/>
          <w:sz w:val="24"/>
          <w:szCs w:val="24"/>
        </w:rPr>
        <w:t>(далее – Фонд, паевой инвестиционный фонд</w:t>
      </w:r>
      <w:r w:rsidR="007D6454" w:rsidRPr="00792F3B">
        <w:rPr>
          <w:rFonts w:ascii="Times New Roman" w:hAnsi="Times New Roman"/>
          <w:sz w:val="24"/>
          <w:szCs w:val="24"/>
        </w:rPr>
        <w:t>, ПИФ</w:t>
      </w:r>
      <w:r w:rsidR="008F177D" w:rsidRPr="00792F3B">
        <w:rPr>
          <w:rFonts w:ascii="Times New Roman" w:hAnsi="Times New Roman"/>
          <w:sz w:val="24"/>
          <w:szCs w:val="24"/>
        </w:rPr>
        <w:t>) разработаны в соответствии с требованиями Федерального закона от 29 ноября 2001 года № 156-ФЗ «Об инвестиционных фондов» и принятыми в соответствии с ним нормативными актами, Указания Банка России от 25 августа 2015 года № 3758-У «Об определении стоимости чистых активов инвестиционных фондов и расчетной стоимости инвестиционных паев паевых инвестиционных фондов, стоимости имущества, переданного в оплату инвестиционных паев» и иными нормативными актами Банка России.</w:t>
      </w:r>
    </w:p>
    <w:p w14:paraId="4C7EF11B" w14:textId="1AC8E99A" w:rsidR="000C1E0E" w:rsidRDefault="000C1E0E" w:rsidP="000C1E0E">
      <w:pPr>
        <w:spacing w:line="240" w:lineRule="auto"/>
        <w:rPr>
          <w:rFonts w:ascii="Times New Roman" w:hAnsi="Times New Roman"/>
          <w:sz w:val="24"/>
          <w:szCs w:val="24"/>
        </w:rPr>
      </w:pPr>
      <w:r w:rsidRPr="00792F3B">
        <w:rPr>
          <w:rFonts w:ascii="Times New Roman" w:hAnsi="Times New Roman"/>
          <w:sz w:val="24"/>
          <w:szCs w:val="24"/>
        </w:rPr>
        <w:t xml:space="preserve">Настоящая редакция Правил определения стоимости чистых активов применяется с     </w:t>
      </w:r>
      <w:r w:rsidR="00C375C8" w:rsidRPr="00792F3B">
        <w:rPr>
          <w:rFonts w:ascii="Times New Roman" w:hAnsi="Times New Roman"/>
          <w:sz w:val="24"/>
          <w:szCs w:val="24"/>
        </w:rPr>
        <w:t>01</w:t>
      </w:r>
      <w:r w:rsidRPr="00792F3B">
        <w:rPr>
          <w:rFonts w:ascii="Times New Roman" w:hAnsi="Times New Roman"/>
          <w:sz w:val="24"/>
          <w:szCs w:val="24"/>
        </w:rPr>
        <w:t>.0</w:t>
      </w:r>
      <w:r w:rsidR="00C375C8" w:rsidRPr="00792F3B">
        <w:rPr>
          <w:rFonts w:ascii="Times New Roman" w:hAnsi="Times New Roman"/>
          <w:sz w:val="24"/>
          <w:szCs w:val="24"/>
        </w:rPr>
        <w:t>7</w:t>
      </w:r>
      <w:r w:rsidRPr="00792F3B">
        <w:rPr>
          <w:rFonts w:ascii="Times New Roman" w:hAnsi="Times New Roman"/>
          <w:sz w:val="24"/>
          <w:szCs w:val="24"/>
        </w:rPr>
        <w:t>.202</w:t>
      </w:r>
      <w:r w:rsidR="00C375C8" w:rsidRPr="00792F3B">
        <w:rPr>
          <w:rFonts w:ascii="Times New Roman" w:hAnsi="Times New Roman"/>
          <w:sz w:val="24"/>
          <w:szCs w:val="24"/>
        </w:rPr>
        <w:t>1</w:t>
      </w:r>
      <w:r w:rsidRPr="00792F3B">
        <w:rPr>
          <w:rFonts w:ascii="Times New Roman" w:hAnsi="Times New Roman"/>
          <w:sz w:val="24"/>
          <w:szCs w:val="24"/>
        </w:rPr>
        <w:t>, и связана с внесением уточнений по расчету справедливой стоимости активов; уточнением и конкретизацией</w:t>
      </w:r>
      <w:r>
        <w:rPr>
          <w:rFonts w:ascii="Times New Roman" w:hAnsi="Times New Roman"/>
          <w:sz w:val="24"/>
          <w:szCs w:val="24"/>
        </w:rPr>
        <w:t xml:space="preserve"> применяемых формулировок.</w:t>
      </w:r>
    </w:p>
    <w:p w14:paraId="3CF483B2" w14:textId="77777777" w:rsidR="000C1E0E" w:rsidRDefault="000C1E0E" w:rsidP="000C1E0E">
      <w:pPr>
        <w:spacing w:before="60" w:after="60" w:line="240" w:lineRule="auto"/>
        <w:rPr>
          <w:rFonts w:ascii="Times New Roman" w:hAnsi="Times New Roman"/>
          <w:sz w:val="24"/>
          <w:szCs w:val="24"/>
        </w:rPr>
      </w:pPr>
      <w:r>
        <w:rPr>
          <w:rFonts w:ascii="Times New Roman" w:hAnsi="Times New Roman"/>
          <w:sz w:val="24"/>
          <w:szCs w:val="24"/>
        </w:rPr>
        <w:t>Правила определения стоимости чистых активов Фонда (далее - Правила определения СЧА) содержат порядок определения стоимости активов и величины обязательств, подлежащих исполнению за счет указанных активов паевого инвестиционного фонда, а также:</w:t>
      </w:r>
    </w:p>
    <w:p w14:paraId="0B6D0E99" w14:textId="77777777" w:rsidR="000C1E0E" w:rsidRDefault="000C1E0E" w:rsidP="000C1E0E">
      <w:pPr>
        <w:spacing w:before="60" w:after="60" w:line="240" w:lineRule="auto"/>
        <w:rPr>
          <w:rFonts w:ascii="Times New Roman" w:hAnsi="Times New Roman"/>
          <w:sz w:val="24"/>
          <w:szCs w:val="24"/>
        </w:rPr>
      </w:pPr>
      <w:r>
        <w:rPr>
          <w:rFonts w:ascii="Times New Roman" w:hAnsi="Times New Roman"/>
          <w:sz w:val="24"/>
          <w:szCs w:val="24"/>
        </w:rPr>
        <w:tab/>
        <w:t>критерии признания (прекращения признания) активов (обязательств);</w:t>
      </w:r>
    </w:p>
    <w:p w14:paraId="71D5A945" w14:textId="77777777" w:rsidR="000C1E0E" w:rsidRDefault="000C1E0E" w:rsidP="000C1E0E">
      <w:pPr>
        <w:spacing w:before="60" w:after="60" w:line="240" w:lineRule="auto"/>
        <w:rPr>
          <w:rFonts w:ascii="Times New Roman" w:hAnsi="Times New Roman"/>
          <w:sz w:val="24"/>
          <w:szCs w:val="24"/>
        </w:rPr>
      </w:pPr>
      <w:r>
        <w:rPr>
          <w:rFonts w:ascii="Times New Roman" w:hAnsi="Times New Roman"/>
          <w:sz w:val="24"/>
          <w:szCs w:val="24"/>
        </w:rPr>
        <w:tab/>
        <w:t>методы определения стоимости активов и величин обязательств, в том числе описание источников данных для определения стоимости активов (величины обязательств), порядка их выбора, порядка конвертации величин стоимостей, выраженных в одной валюте, в другую валюту, порядка признания рынков активов и обязательств активными, критерии выбора способов и моделей оценки стоимости в зависимости от видов активов и обязательств, а также перечень активов, подлежащих оценке оценщиком, и периодичность проведения такой оценки;</w:t>
      </w:r>
    </w:p>
    <w:p w14:paraId="2CCBA3EB" w14:textId="77777777" w:rsidR="000C1E0E" w:rsidRDefault="000C1E0E" w:rsidP="000C1E0E">
      <w:pPr>
        <w:spacing w:before="60" w:after="60" w:line="240" w:lineRule="auto"/>
        <w:rPr>
          <w:rFonts w:ascii="Times New Roman" w:hAnsi="Times New Roman"/>
          <w:sz w:val="24"/>
          <w:szCs w:val="24"/>
        </w:rPr>
      </w:pPr>
      <w:r>
        <w:rPr>
          <w:rFonts w:ascii="Times New Roman" w:hAnsi="Times New Roman"/>
          <w:sz w:val="24"/>
          <w:szCs w:val="24"/>
        </w:rPr>
        <w:tab/>
        <w:t>время, по состоянию на которое определяется стоимость чистых активов;</w:t>
      </w:r>
    </w:p>
    <w:p w14:paraId="1B5C3EC6" w14:textId="77777777" w:rsidR="000C1E0E" w:rsidRDefault="000C1E0E" w:rsidP="000C1E0E">
      <w:pPr>
        <w:spacing w:before="60" w:after="60" w:line="240" w:lineRule="auto"/>
        <w:rPr>
          <w:rFonts w:ascii="Times New Roman" w:hAnsi="Times New Roman"/>
          <w:sz w:val="24"/>
          <w:szCs w:val="24"/>
        </w:rPr>
      </w:pPr>
      <w:r>
        <w:rPr>
          <w:rFonts w:ascii="Times New Roman" w:hAnsi="Times New Roman"/>
          <w:sz w:val="24"/>
          <w:szCs w:val="24"/>
        </w:rPr>
        <w:tab/>
        <w:t>периодичность (даты) определения стоимости чистых активов;</w:t>
      </w:r>
    </w:p>
    <w:p w14:paraId="3CE0E196" w14:textId="64D9F7CC" w:rsidR="000C1E0E" w:rsidRDefault="000C1E0E" w:rsidP="000C1E0E">
      <w:pPr>
        <w:spacing w:before="60" w:after="60" w:line="240" w:lineRule="auto"/>
        <w:rPr>
          <w:rFonts w:ascii="Times New Roman" w:hAnsi="Times New Roman"/>
          <w:sz w:val="24"/>
          <w:szCs w:val="24"/>
        </w:rPr>
      </w:pPr>
      <w:r>
        <w:rPr>
          <w:rFonts w:ascii="Times New Roman" w:hAnsi="Times New Roman"/>
          <w:sz w:val="24"/>
          <w:szCs w:val="24"/>
        </w:rPr>
        <w:lastRenderedPageBreak/>
        <w:tab/>
        <w:t>порядок расчета величины резерва на выплату вознаграждения Управляющей компании и сп</w:t>
      </w:r>
      <w:r w:rsidR="00C375C8">
        <w:rPr>
          <w:rFonts w:ascii="Times New Roman" w:hAnsi="Times New Roman"/>
          <w:sz w:val="24"/>
          <w:szCs w:val="24"/>
        </w:rPr>
        <w:t xml:space="preserve">ециализированного депозитария, </w:t>
      </w:r>
      <w:r>
        <w:rPr>
          <w:rFonts w:ascii="Times New Roman" w:hAnsi="Times New Roman"/>
          <w:sz w:val="24"/>
          <w:szCs w:val="24"/>
        </w:rPr>
        <w:t>лица, осуществляющего ведение реестра в</w:t>
      </w:r>
      <w:r w:rsidR="00C375C8">
        <w:rPr>
          <w:rFonts w:ascii="Times New Roman" w:hAnsi="Times New Roman"/>
          <w:sz w:val="24"/>
          <w:szCs w:val="24"/>
        </w:rPr>
        <w:t xml:space="preserve">ладельцев инвестиционных паев, </w:t>
      </w:r>
      <w:r>
        <w:rPr>
          <w:rFonts w:ascii="Times New Roman" w:hAnsi="Times New Roman"/>
          <w:sz w:val="24"/>
          <w:szCs w:val="24"/>
        </w:rPr>
        <w:t xml:space="preserve">оценщика и аудиторской организации; </w:t>
      </w:r>
    </w:p>
    <w:p w14:paraId="1A3AFF0D" w14:textId="77777777" w:rsidR="000C1E0E" w:rsidRDefault="000C1E0E" w:rsidP="000C1E0E">
      <w:pPr>
        <w:spacing w:before="60" w:after="60" w:line="240" w:lineRule="auto"/>
        <w:rPr>
          <w:rFonts w:ascii="Times New Roman" w:hAnsi="Times New Roman"/>
          <w:sz w:val="24"/>
          <w:szCs w:val="24"/>
        </w:rPr>
      </w:pPr>
      <w:r>
        <w:rPr>
          <w:rFonts w:ascii="Times New Roman" w:hAnsi="Times New Roman"/>
          <w:sz w:val="24"/>
          <w:szCs w:val="24"/>
        </w:rPr>
        <w:tab/>
        <w:t>порядок урегулирования разногласий между Управляющей компанией и специализированным депозитарием при определении стоимости чистых активов;</w:t>
      </w:r>
    </w:p>
    <w:p w14:paraId="64575B1B" w14:textId="77777777" w:rsidR="000C1E0E" w:rsidRDefault="000C1E0E" w:rsidP="000C1E0E">
      <w:pPr>
        <w:spacing w:before="60" w:after="60" w:line="240" w:lineRule="auto"/>
        <w:rPr>
          <w:rFonts w:ascii="Times New Roman" w:hAnsi="Times New Roman"/>
          <w:sz w:val="24"/>
          <w:szCs w:val="24"/>
        </w:rPr>
      </w:pPr>
      <w:r>
        <w:rPr>
          <w:rFonts w:ascii="Times New Roman" w:hAnsi="Times New Roman"/>
          <w:sz w:val="24"/>
          <w:szCs w:val="24"/>
        </w:rPr>
        <w:tab/>
        <w:t>иную информацию, необходимую для определения стоимости чистых активов.</w:t>
      </w:r>
    </w:p>
    <w:p w14:paraId="064EFC4B" w14:textId="77777777" w:rsidR="000C1E0E" w:rsidRDefault="000C1E0E" w:rsidP="000C1E0E">
      <w:pPr>
        <w:keepNext/>
        <w:widowControl w:val="0"/>
        <w:autoSpaceDE w:val="0"/>
        <w:autoSpaceDN w:val="0"/>
        <w:spacing w:before="120" w:after="60" w:line="240" w:lineRule="auto"/>
        <w:outlineLvl w:val="1"/>
        <w:rPr>
          <w:rFonts w:ascii="Times New Roman" w:hAnsi="Times New Roman"/>
          <w:b/>
          <w:sz w:val="24"/>
          <w:szCs w:val="24"/>
        </w:rPr>
      </w:pPr>
      <w:bookmarkStart w:id="1" w:name="_Toc394856813"/>
      <w:r>
        <w:rPr>
          <w:rFonts w:ascii="Times New Roman" w:hAnsi="Times New Roman"/>
          <w:b/>
          <w:sz w:val="24"/>
          <w:szCs w:val="24"/>
        </w:rPr>
        <w:t>НОРМАТИВНЫЕ ССЫЛКИ</w:t>
      </w:r>
    </w:p>
    <w:p w14:paraId="1F3188CA" w14:textId="77777777" w:rsidR="000C1E0E" w:rsidRDefault="000C1E0E" w:rsidP="000C1E0E">
      <w:pPr>
        <w:spacing w:line="240" w:lineRule="auto"/>
        <w:rPr>
          <w:rFonts w:ascii="Times New Roman" w:hAnsi="Times New Roman"/>
          <w:sz w:val="24"/>
          <w:szCs w:val="24"/>
        </w:rPr>
      </w:pPr>
      <w:r>
        <w:rPr>
          <w:rFonts w:ascii="Times New Roman" w:hAnsi="Times New Roman"/>
          <w:sz w:val="24"/>
          <w:szCs w:val="24"/>
        </w:rPr>
        <w:t>Федеральный закон от 29 ноября 2001 года № 156-ФЗ «Об инвестиционных фондах» (далее – Федеральный закон «Об инвестиционных фондах»);</w:t>
      </w:r>
    </w:p>
    <w:p w14:paraId="4A59620F" w14:textId="77777777" w:rsidR="000C1E0E" w:rsidRDefault="000C1E0E" w:rsidP="000C1E0E">
      <w:pPr>
        <w:spacing w:line="240" w:lineRule="auto"/>
        <w:rPr>
          <w:rFonts w:ascii="Times New Roman" w:hAnsi="Times New Roman"/>
          <w:sz w:val="24"/>
          <w:szCs w:val="24"/>
        </w:rPr>
      </w:pPr>
      <w:r>
        <w:rPr>
          <w:rFonts w:ascii="Times New Roman" w:hAnsi="Times New Roman"/>
          <w:sz w:val="24"/>
          <w:szCs w:val="24"/>
        </w:rPr>
        <w:t>Указание Банка России от 25 августа 2015 года № 3758-У «Об определении стоимости чистых активов инвестиционных фондов и расчетной стоимости инвестиционных паев паевых инвестиционных фондов, стоимости имущества, переданного в оплату инвестиционных паев» (далее – Указание);</w:t>
      </w:r>
    </w:p>
    <w:p w14:paraId="6213A786" w14:textId="77777777" w:rsidR="000C1E0E" w:rsidRDefault="000C1E0E" w:rsidP="000C1E0E">
      <w:pPr>
        <w:spacing w:line="240" w:lineRule="auto"/>
        <w:rPr>
          <w:rFonts w:ascii="Times New Roman" w:hAnsi="Times New Roman"/>
          <w:sz w:val="24"/>
          <w:szCs w:val="24"/>
        </w:rPr>
      </w:pPr>
      <w:r>
        <w:rPr>
          <w:rFonts w:ascii="Times New Roman" w:hAnsi="Times New Roman"/>
          <w:sz w:val="24"/>
          <w:szCs w:val="24"/>
        </w:rPr>
        <w:t>Международный стандарт финансовой отчетности (IFRS) 13 «Оценка справедливой стоимости», введенный в действие на территории Российской Федерации приказом Министерства финансов Российской Федерации от 28.12.2015 № 217н «О введении Международных стандартов финансовой отчетности и Разъяснений Международных стандартов финансовой отчетности в действие на территории Российской Федерации и о признании утратившими силу некоторых приказов (отдельных положений приказов) Министерства финансов Российской Федерации»;</w:t>
      </w:r>
    </w:p>
    <w:p w14:paraId="270EA3DC" w14:textId="77777777" w:rsidR="000C1E0E" w:rsidRDefault="000C1E0E" w:rsidP="000C1E0E">
      <w:pPr>
        <w:spacing w:line="240" w:lineRule="auto"/>
        <w:rPr>
          <w:rFonts w:ascii="Times New Roman" w:hAnsi="Times New Roman"/>
          <w:sz w:val="24"/>
          <w:szCs w:val="24"/>
        </w:rPr>
      </w:pPr>
      <w:r>
        <w:rPr>
          <w:rFonts w:ascii="Times New Roman" w:hAnsi="Times New Roman"/>
          <w:sz w:val="24"/>
          <w:szCs w:val="24"/>
        </w:rPr>
        <w:t>Федеральный закон от 29 июля 1998 года № 135-ФЗ «Об оценочной деятельности в Российской Федерации» (далее - Федеральный закон «Об оценочной деятельности в Российской Федерации»).</w:t>
      </w:r>
    </w:p>
    <w:p w14:paraId="77B10323" w14:textId="77777777" w:rsidR="000C1E0E" w:rsidRDefault="000C1E0E" w:rsidP="000C1E0E">
      <w:pPr>
        <w:autoSpaceDE w:val="0"/>
        <w:autoSpaceDN w:val="0"/>
        <w:spacing w:line="240" w:lineRule="auto"/>
        <w:ind w:left="284" w:hanging="284"/>
        <w:rPr>
          <w:rFonts w:ascii="Times New Roman" w:hAnsi="Times New Roman"/>
          <w:sz w:val="24"/>
          <w:szCs w:val="24"/>
        </w:rPr>
      </w:pPr>
    </w:p>
    <w:p w14:paraId="5CD25C36" w14:textId="77777777" w:rsidR="000C1E0E" w:rsidRDefault="000C1E0E" w:rsidP="000C1E0E">
      <w:pPr>
        <w:keepNext/>
        <w:widowControl w:val="0"/>
        <w:numPr>
          <w:ilvl w:val="1"/>
          <w:numId w:val="4"/>
        </w:numPr>
        <w:autoSpaceDE w:val="0"/>
        <w:autoSpaceDN w:val="0"/>
        <w:spacing w:before="120" w:after="60" w:line="240" w:lineRule="auto"/>
        <w:outlineLvl w:val="1"/>
        <w:rPr>
          <w:rFonts w:ascii="Times New Roman" w:hAnsi="Times New Roman"/>
          <w:b/>
          <w:sz w:val="24"/>
          <w:szCs w:val="24"/>
        </w:rPr>
      </w:pPr>
      <w:r>
        <w:rPr>
          <w:rFonts w:ascii="Times New Roman" w:hAnsi="Times New Roman"/>
          <w:b/>
          <w:sz w:val="24"/>
          <w:szCs w:val="24"/>
        </w:rPr>
        <w:t>ОБЩИЕ ПОЛОЖЕНИЯ</w:t>
      </w:r>
    </w:p>
    <w:p w14:paraId="0D285F42" w14:textId="77777777" w:rsidR="000C1E0E" w:rsidRDefault="000C1E0E" w:rsidP="000C1E0E">
      <w:pPr>
        <w:tabs>
          <w:tab w:val="left" w:pos="540"/>
        </w:tabs>
        <w:spacing w:after="60" w:line="240" w:lineRule="auto"/>
        <w:ind w:left="256"/>
        <w:rPr>
          <w:rFonts w:ascii="Times New Roman" w:hAnsi="Times New Roman"/>
          <w:sz w:val="24"/>
          <w:szCs w:val="24"/>
        </w:rPr>
      </w:pPr>
    </w:p>
    <w:p w14:paraId="60DB2012" w14:textId="77777777" w:rsidR="000C1E0E" w:rsidRDefault="000C1E0E" w:rsidP="000C1E0E">
      <w:pPr>
        <w:widowControl w:val="0"/>
        <w:numPr>
          <w:ilvl w:val="2"/>
          <w:numId w:val="4"/>
        </w:numPr>
        <w:spacing w:before="60" w:after="60" w:line="240" w:lineRule="auto"/>
        <w:rPr>
          <w:rFonts w:ascii="Times New Roman" w:hAnsi="Times New Roman"/>
          <w:sz w:val="24"/>
          <w:szCs w:val="24"/>
        </w:rPr>
      </w:pPr>
      <w:r>
        <w:rPr>
          <w:rFonts w:ascii="Times New Roman" w:hAnsi="Times New Roman"/>
          <w:sz w:val="24"/>
          <w:szCs w:val="24"/>
        </w:rPr>
        <w:t>Определение стоимости чистых активов инвестиционных фондов осуществляется в соответствии с Федеральным законом «Об инвестиционных фондах», принятыми в соответствии с ним нормативными актами, Указанием и Правилами определения СЧА.</w:t>
      </w:r>
    </w:p>
    <w:p w14:paraId="516A3C1D" w14:textId="77777777" w:rsidR="000C1E0E" w:rsidRDefault="000C1E0E" w:rsidP="000C1E0E">
      <w:pPr>
        <w:widowControl w:val="0"/>
        <w:numPr>
          <w:ilvl w:val="2"/>
          <w:numId w:val="4"/>
        </w:numPr>
        <w:spacing w:before="60" w:after="60" w:line="240" w:lineRule="auto"/>
        <w:rPr>
          <w:rFonts w:ascii="Times New Roman" w:hAnsi="Times New Roman"/>
          <w:sz w:val="24"/>
          <w:szCs w:val="24"/>
        </w:rPr>
      </w:pPr>
      <w:r>
        <w:rPr>
          <w:rFonts w:ascii="Times New Roman" w:hAnsi="Times New Roman"/>
          <w:sz w:val="24"/>
          <w:szCs w:val="24"/>
        </w:rPr>
        <w:t>Акционерное общество «Управляющая компания УРАЛСИБ» (далее – Управляющая компания) определяет стоимость чистых активов в соответствии с Правилами определения СЧА, согласованными специализированным депозитарием.</w:t>
      </w:r>
    </w:p>
    <w:p w14:paraId="7390FBC0" w14:textId="77777777" w:rsidR="000C1E0E" w:rsidRDefault="000C1E0E" w:rsidP="000C1E0E">
      <w:pPr>
        <w:widowControl w:val="0"/>
        <w:numPr>
          <w:ilvl w:val="2"/>
          <w:numId w:val="4"/>
        </w:numPr>
        <w:spacing w:before="60" w:after="60" w:line="240" w:lineRule="auto"/>
        <w:rPr>
          <w:rFonts w:ascii="Times New Roman" w:hAnsi="Times New Roman"/>
          <w:sz w:val="24"/>
          <w:szCs w:val="24"/>
        </w:rPr>
      </w:pPr>
      <w:r>
        <w:rPr>
          <w:rFonts w:ascii="Times New Roman" w:hAnsi="Times New Roman"/>
          <w:sz w:val="24"/>
          <w:szCs w:val="24"/>
        </w:rPr>
        <w:t>Стоимость чистых активов (СЧА) определяется как разница между стоимостью всех активов паевого инвестиционного фонда (далее - активы) и величиной всех обязательств, подлежащих исполнению за счет указанных активов (далее - обязательства), на момент определения стоимости чистых активов.</w:t>
      </w:r>
    </w:p>
    <w:p w14:paraId="1C16DF13" w14:textId="77777777" w:rsidR="000C1E0E" w:rsidRDefault="000C1E0E" w:rsidP="000C1E0E">
      <w:pPr>
        <w:widowControl w:val="0"/>
        <w:numPr>
          <w:ilvl w:val="2"/>
          <w:numId w:val="4"/>
        </w:numPr>
        <w:spacing w:before="60" w:after="60" w:line="240" w:lineRule="auto"/>
        <w:rPr>
          <w:rFonts w:ascii="Times New Roman" w:hAnsi="Times New Roman"/>
          <w:sz w:val="24"/>
          <w:szCs w:val="24"/>
        </w:rPr>
      </w:pPr>
      <w:r>
        <w:rPr>
          <w:rFonts w:ascii="Times New Roman" w:hAnsi="Times New Roman"/>
          <w:sz w:val="24"/>
          <w:szCs w:val="24"/>
        </w:rPr>
        <w:t>Среднегодовая стоимость чистых активов (СГСЧА) Фонда на любой день определяется как отношение суммы стоимостей чистых активов на каждый рабочий день календарного года с начала года (если на рабочий день календарного года стоимость чистых активов не определялась - на последний день ее определения, предшествующий такому дню) до даты расчета среднегодовой стоимости чистых активов к числу рабочих дней за этот период.</w:t>
      </w:r>
    </w:p>
    <w:p w14:paraId="3478AC27" w14:textId="77777777" w:rsidR="000C1E0E" w:rsidRDefault="000C1E0E" w:rsidP="000C1E0E">
      <w:pPr>
        <w:widowControl w:val="0"/>
        <w:numPr>
          <w:ilvl w:val="2"/>
          <w:numId w:val="4"/>
        </w:numPr>
        <w:spacing w:before="60" w:after="60" w:line="240" w:lineRule="auto"/>
        <w:rPr>
          <w:rFonts w:ascii="Times New Roman" w:hAnsi="Times New Roman"/>
          <w:sz w:val="24"/>
          <w:szCs w:val="24"/>
        </w:rPr>
      </w:pPr>
      <w:r>
        <w:rPr>
          <w:rFonts w:ascii="Times New Roman" w:hAnsi="Times New Roman"/>
          <w:sz w:val="24"/>
          <w:szCs w:val="24"/>
        </w:rPr>
        <w:t xml:space="preserve">Стоимость активов и величина обязательств определяются по справедливой стоимости в соответствии с Международным стандартом финансовой отчетности (IFRS) 13 «Оценка справедливой стоимости», введенным в действие на территории Российской Федерации приказом Министерства финансов Российской Федерации от 28.12.2015 № 217н «О введении Международных стандартов финансовой </w:t>
      </w:r>
      <w:r>
        <w:rPr>
          <w:rFonts w:ascii="Times New Roman" w:hAnsi="Times New Roman"/>
          <w:sz w:val="24"/>
          <w:szCs w:val="24"/>
        </w:rPr>
        <w:lastRenderedPageBreak/>
        <w:t>отчетности и Разъяснений Международных стандартов финансовой отчетности в действие на территории Российской Федерации и о признании утратившими силу некоторых приказов (отдельных положений приказов) Министерства финансов Российской Федерации».</w:t>
      </w:r>
    </w:p>
    <w:p w14:paraId="14711C41" w14:textId="77777777" w:rsidR="000C1E0E" w:rsidRDefault="000C1E0E" w:rsidP="000C1E0E">
      <w:pPr>
        <w:widowControl w:val="0"/>
        <w:numPr>
          <w:ilvl w:val="2"/>
          <w:numId w:val="4"/>
        </w:numPr>
        <w:spacing w:before="60" w:after="60" w:line="240" w:lineRule="auto"/>
        <w:rPr>
          <w:rFonts w:ascii="Times New Roman" w:hAnsi="Times New Roman"/>
          <w:sz w:val="24"/>
          <w:szCs w:val="24"/>
        </w:rPr>
      </w:pPr>
      <w:r>
        <w:rPr>
          <w:rFonts w:ascii="Times New Roman" w:hAnsi="Times New Roman"/>
          <w:sz w:val="24"/>
          <w:szCs w:val="24"/>
        </w:rPr>
        <w:t>Управляющая компания осуществляет выбор и допустимость применяемых подходов к оценке активов и обязательств по согласованию со специализированным депозитарием Фонда.</w:t>
      </w:r>
    </w:p>
    <w:p w14:paraId="5255930C" w14:textId="77777777" w:rsidR="000C1E0E" w:rsidRDefault="000C1E0E" w:rsidP="000C1E0E">
      <w:pPr>
        <w:widowControl w:val="0"/>
        <w:numPr>
          <w:ilvl w:val="2"/>
          <w:numId w:val="4"/>
        </w:numPr>
        <w:spacing w:before="60" w:after="60" w:line="240" w:lineRule="auto"/>
        <w:rPr>
          <w:rFonts w:ascii="Times New Roman" w:hAnsi="Times New Roman"/>
          <w:sz w:val="24"/>
          <w:szCs w:val="24"/>
        </w:rPr>
      </w:pPr>
      <w:r>
        <w:rPr>
          <w:rFonts w:ascii="Times New Roman" w:hAnsi="Times New Roman"/>
          <w:sz w:val="24"/>
          <w:szCs w:val="24"/>
        </w:rPr>
        <w:t>Правила определения СЧА разрабатываются Управляющей компанией в соответствии с требованиями Указания Банка России от 25.08.2015 № 3758-У «Об определении стоимости чистых активов инвестиционных фондов и расчетной стоимости инвестиционных паев паевых инвестиционных фондов, стоимости имущества, переданного в оплату инвестиционных паев» и иных нормативных актов Банка России.</w:t>
      </w:r>
    </w:p>
    <w:p w14:paraId="37F71E5C" w14:textId="77777777" w:rsidR="000C1E0E" w:rsidRDefault="000C1E0E" w:rsidP="000C1E0E">
      <w:pPr>
        <w:widowControl w:val="0"/>
        <w:numPr>
          <w:ilvl w:val="2"/>
          <w:numId w:val="4"/>
        </w:numPr>
        <w:spacing w:before="60" w:after="60" w:line="240" w:lineRule="auto"/>
        <w:rPr>
          <w:rFonts w:ascii="Times New Roman" w:hAnsi="Times New Roman"/>
          <w:sz w:val="24"/>
          <w:szCs w:val="24"/>
        </w:rPr>
      </w:pPr>
      <w:r>
        <w:rPr>
          <w:rFonts w:ascii="Times New Roman" w:hAnsi="Times New Roman"/>
          <w:sz w:val="24"/>
          <w:szCs w:val="24"/>
        </w:rPr>
        <w:t>Изменения и дополнения в Правила определения стоимости чистых активов не могут быть внесены (за исключением случаев невозможности определения стоимости чистых активов):</w:t>
      </w:r>
    </w:p>
    <w:p w14:paraId="1E547196" w14:textId="77777777" w:rsidR="000C1E0E" w:rsidRDefault="000C1E0E" w:rsidP="000C1E0E">
      <w:pPr>
        <w:spacing w:before="60" w:after="60" w:line="240" w:lineRule="auto"/>
        <w:ind w:left="709"/>
        <w:rPr>
          <w:rFonts w:ascii="Times New Roman" w:hAnsi="Times New Roman"/>
          <w:sz w:val="24"/>
          <w:szCs w:val="24"/>
        </w:rPr>
      </w:pPr>
      <w:r>
        <w:rPr>
          <w:rFonts w:ascii="Times New Roman" w:hAnsi="Times New Roman"/>
          <w:sz w:val="24"/>
          <w:szCs w:val="24"/>
        </w:rPr>
        <w:t>в период с даты начала до даты завершения (окончания) формирования паевого инвестиционного фонда;</w:t>
      </w:r>
    </w:p>
    <w:p w14:paraId="289649E1" w14:textId="77777777" w:rsidR="000C1E0E" w:rsidRDefault="000C1E0E" w:rsidP="000C1E0E">
      <w:pPr>
        <w:spacing w:before="60" w:after="60" w:line="240" w:lineRule="auto"/>
        <w:ind w:left="709"/>
        <w:rPr>
          <w:rFonts w:ascii="Times New Roman" w:hAnsi="Times New Roman"/>
          <w:sz w:val="24"/>
          <w:szCs w:val="24"/>
        </w:rPr>
      </w:pPr>
      <w:r>
        <w:rPr>
          <w:rFonts w:ascii="Times New Roman" w:hAnsi="Times New Roman"/>
          <w:sz w:val="24"/>
          <w:szCs w:val="24"/>
        </w:rPr>
        <w:t>после даты возникновения основания прекращения паевого инвестиционного фонда.</w:t>
      </w:r>
    </w:p>
    <w:p w14:paraId="289D1408" w14:textId="77777777" w:rsidR="000C1E0E" w:rsidRDefault="000C1E0E" w:rsidP="000C1E0E">
      <w:pPr>
        <w:widowControl w:val="0"/>
        <w:numPr>
          <w:ilvl w:val="2"/>
          <w:numId w:val="4"/>
        </w:numPr>
        <w:spacing w:before="60" w:after="60" w:line="240" w:lineRule="auto"/>
        <w:rPr>
          <w:rFonts w:ascii="Times New Roman" w:hAnsi="Times New Roman"/>
          <w:sz w:val="24"/>
          <w:szCs w:val="24"/>
        </w:rPr>
      </w:pPr>
      <w:r>
        <w:rPr>
          <w:rFonts w:ascii="Times New Roman" w:hAnsi="Times New Roman"/>
          <w:sz w:val="24"/>
          <w:szCs w:val="24"/>
        </w:rPr>
        <w:t>Правила определения стоимости чистых активов (изменения и дополнения в них) утверждаются исполнительным органом Управляющей компании паевого инвестиционного фонда по согласованию со специализированным депозитарием (его исполнительным органом).</w:t>
      </w:r>
    </w:p>
    <w:p w14:paraId="2D1641D6" w14:textId="77777777" w:rsidR="000C1E0E" w:rsidRDefault="000C1E0E" w:rsidP="000C1E0E">
      <w:pPr>
        <w:widowControl w:val="0"/>
        <w:numPr>
          <w:ilvl w:val="2"/>
          <w:numId w:val="4"/>
        </w:numPr>
        <w:spacing w:before="60" w:after="60" w:line="240" w:lineRule="auto"/>
        <w:rPr>
          <w:rFonts w:ascii="Times New Roman" w:hAnsi="Times New Roman"/>
          <w:sz w:val="24"/>
          <w:szCs w:val="24"/>
        </w:rPr>
      </w:pPr>
      <w:r>
        <w:rPr>
          <w:rFonts w:ascii="Times New Roman" w:hAnsi="Times New Roman"/>
          <w:sz w:val="24"/>
          <w:szCs w:val="24"/>
        </w:rPr>
        <w:t xml:space="preserve">Правила определения стоимости чистых активов (изменения и дополнения в них) представляются Управляющей компанией паевого инвестиционного фонда в уведомительном порядке в Банк России в течение двух рабочих дней с даты их утверждения и согласования со специализированным депозитарием путем направления электронного документа, подписанного усиленной квалифицированной электронной подписью, по телекоммуникационным каналам связи, в том числе через информационно-телекоммуникационную сеть "Интернет". </w:t>
      </w:r>
    </w:p>
    <w:p w14:paraId="49E87ACB" w14:textId="77777777" w:rsidR="000C1E0E" w:rsidRDefault="000C1E0E" w:rsidP="000C1E0E">
      <w:pPr>
        <w:widowControl w:val="0"/>
        <w:numPr>
          <w:ilvl w:val="2"/>
          <w:numId w:val="4"/>
        </w:numPr>
        <w:spacing w:before="60" w:after="60" w:line="240" w:lineRule="auto"/>
        <w:rPr>
          <w:rFonts w:ascii="Times New Roman" w:hAnsi="Times New Roman"/>
          <w:sz w:val="24"/>
          <w:szCs w:val="24"/>
        </w:rPr>
      </w:pPr>
      <w:r>
        <w:rPr>
          <w:rFonts w:ascii="Times New Roman" w:hAnsi="Times New Roman"/>
          <w:sz w:val="24"/>
          <w:szCs w:val="24"/>
        </w:rPr>
        <w:t>Информация о Правилах определения СЧА подлежит раскрытию на официальном сайте Управляющей компании в информационно-телекоммуникационной сети «Интернет».</w:t>
      </w:r>
    </w:p>
    <w:p w14:paraId="76BBA598" w14:textId="77777777" w:rsidR="000C1E0E" w:rsidRDefault="000C1E0E" w:rsidP="000C1E0E">
      <w:pPr>
        <w:widowControl w:val="0"/>
        <w:numPr>
          <w:ilvl w:val="2"/>
          <w:numId w:val="4"/>
        </w:numPr>
        <w:spacing w:before="60" w:after="60" w:line="240" w:lineRule="auto"/>
        <w:rPr>
          <w:rFonts w:ascii="Times New Roman" w:hAnsi="Times New Roman"/>
          <w:sz w:val="24"/>
          <w:szCs w:val="24"/>
        </w:rPr>
      </w:pPr>
      <w:r>
        <w:rPr>
          <w:rFonts w:ascii="Times New Roman" w:hAnsi="Times New Roman"/>
          <w:sz w:val="24"/>
          <w:szCs w:val="24"/>
        </w:rPr>
        <w:t>Изменения и дополнения, вносимые в Правила определения СЧА, подлежат раскрытию на официальном сайте Управляющей компании в информационно-телекоммуникационной сети «Интернет» не позднее пяти рабочих дней до даты начала применения Правил определения СЧА с внесенными изменениями и дополнениями.</w:t>
      </w:r>
    </w:p>
    <w:p w14:paraId="17CCAEFC" w14:textId="77777777" w:rsidR="000C1E0E" w:rsidRDefault="000C1E0E" w:rsidP="000C1E0E">
      <w:pPr>
        <w:widowControl w:val="0"/>
        <w:numPr>
          <w:ilvl w:val="2"/>
          <w:numId w:val="4"/>
        </w:numPr>
        <w:spacing w:before="60" w:after="60" w:line="240" w:lineRule="auto"/>
        <w:rPr>
          <w:rFonts w:ascii="Times New Roman" w:hAnsi="Times New Roman"/>
          <w:sz w:val="24"/>
          <w:szCs w:val="24"/>
        </w:rPr>
      </w:pPr>
      <w:r>
        <w:rPr>
          <w:rFonts w:ascii="Times New Roman" w:hAnsi="Times New Roman"/>
          <w:b/>
          <w:sz w:val="24"/>
          <w:szCs w:val="24"/>
        </w:rPr>
        <w:t>Периодичность определения стоимости чистых активов</w:t>
      </w:r>
      <w:r>
        <w:rPr>
          <w:rFonts w:ascii="Times New Roman" w:hAnsi="Times New Roman"/>
          <w:sz w:val="24"/>
          <w:szCs w:val="24"/>
        </w:rPr>
        <w:t>:</w:t>
      </w:r>
    </w:p>
    <w:p w14:paraId="2261A947" w14:textId="77777777" w:rsidR="000C1E0E" w:rsidRDefault="000C1E0E" w:rsidP="000C1E0E">
      <w:pPr>
        <w:spacing w:before="60" w:after="60" w:line="240" w:lineRule="auto"/>
        <w:ind w:left="709"/>
        <w:rPr>
          <w:rFonts w:ascii="Times New Roman" w:hAnsi="Times New Roman"/>
          <w:sz w:val="24"/>
          <w:szCs w:val="24"/>
        </w:rPr>
      </w:pPr>
      <w:r>
        <w:rPr>
          <w:rFonts w:ascii="Times New Roman" w:hAnsi="Times New Roman"/>
          <w:sz w:val="24"/>
          <w:szCs w:val="24"/>
        </w:rPr>
        <w:t>Стоимость чистых активов Фонда определяется каждый рабочий день по состоянию на 23:59:59 московского времени даты, на которую рассчитывается СЧА, с учетом данных, раскрытых на указанную дату в доступных для управляющей компании источниках, вне зависимости от часового пояса.</w:t>
      </w:r>
    </w:p>
    <w:p w14:paraId="17A7D752" w14:textId="77777777" w:rsidR="000C1E0E" w:rsidRDefault="000C1E0E" w:rsidP="000C1E0E">
      <w:pPr>
        <w:widowControl w:val="0"/>
        <w:numPr>
          <w:ilvl w:val="2"/>
          <w:numId w:val="4"/>
        </w:numPr>
        <w:spacing w:before="60" w:after="60" w:line="240" w:lineRule="auto"/>
        <w:rPr>
          <w:rFonts w:ascii="Times New Roman" w:hAnsi="Times New Roman"/>
          <w:sz w:val="24"/>
          <w:szCs w:val="24"/>
        </w:rPr>
      </w:pPr>
      <w:r>
        <w:rPr>
          <w:rFonts w:ascii="Times New Roman" w:hAnsi="Times New Roman"/>
          <w:sz w:val="24"/>
          <w:szCs w:val="24"/>
        </w:rPr>
        <w:t>Стоимость чистых активов, в том числе среднегодовая стоимость чистых активов, а также расчетная стоимость инвестиционного пая Фонда определяются в рублях с точностью до двух знаков после запятой с применением правил математического округления в рублях.</w:t>
      </w:r>
    </w:p>
    <w:p w14:paraId="1CFC260E" w14:textId="77777777" w:rsidR="000C1E0E" w:rsidRDefault="000C1E0E" w:rsidP="000C1E0E">
      <w:pPr>
        <w:widowControl w:val="0"/>
        <w:numPr>
          <w:ilvl w:val="2"/>
          <w:numId w:val="4"/>
        </w:numPr>
        <w:spacing w:before="60" w:after="60" w:line="240" w:lineRule="auto"/>
        <w:rPr>
          <w:rFonts w:ascii="Times New Roman" w:hAnsi="Times New Roman"/>
          <w:sz w:val="24"/>
          <w:szCs w:val="24"/>
        </w:rPr>
      </w:pPr>
      <w:r>
        <w:rPr>
          <w:rFonts w:ascii="Times New Roman" w:hAnsi="Times New Roman"/>
          <w:sz w:val="24"/>
          <w:szCs w:val="24"/>
        </w:rPr>
        <w:t xml:space="preserve">В случае изменения данных, на основании которых была определена стоимость </w:t>
      </w:r>
      <w:r>
        <w:rPr>
          <w:rFonts w:ascii="Times New Roman" w:hAnsi="Times New Roman"/>
          <w:sz w:val="24"/>
          <w:szCs w:val="24"/>
        </w:rPr>
        <w:lastRenderedPageBreak/>
        <w:t>чистых активов, стоимость чистых активов подлежит перерасчету.</w:t>
      </w:r>
    </w:p>
    <w:p w14:paraId="104CA295" w14:textId="77777777" w:rsidR="000C1E0E" w:rsidRDefault="000C1E0E" w:rsidP="000C1E0E">
      <w:pPr>
        <w:widowControl w:val="0"/>
        <w:numPr>
          <w:ilvl w:val="2"/>
          <w:numId w:val="4"/>
        </w:numPr>
        <w:spacing w:before="60" w:after="60" w:line="240" w:lineRule="auto"/>
        <w:rPr>
          <w:rFonts w:ascii="Times New Roman" w:hAnsi="Times New Roman"/>
          <w:sz w:val="24"/>
          <w:szCs w:val="24"/>
        </w:rPr>
      </w:pPr>
      <w:r>
        <w:rPr>
          <w:rFonts w:ascii="Times New Roman" w:hAnsi="Times New Roman"/>
          <w:sz w:val="24"/>
          <w:szCs w:val="24"/>
        </w:rPr>
        <w:t>Перерасчет стоимости чистых активов не осуществляется в случае, когда отклонение использованной в расчете стоимости актива (обязательства) составит менее чем 0,1% корректной стоимости чистых активов, и отклонения стоимости чистых активов на этот момент расчета составляет менее 0,1% корректной стоимости чистых активов.</w:t>
      </w:r>
    </w:p>
    <w:p w14:paraId="6705EA25" w14:textId="77777777" w:rsidR="000C1E0E" w:rsidRDefault="000C1E0E" w:rsidP="000C1E0E">
      <w:pPr>
        <w:widowControl w:val="0"/>
        <w:numPr>
          <w:ilvl w:val="2"/>
          <w:numId w:val="4"/>
        </w:numPr>
        <w:spacing w:before="60" w:after="60" w:line="240" w:lineRule="auto"/>
        <w:rPr>
          <w:rFonts w:ascii="Times New Roman" w:hAnsi="Times New Roman"/>
          <w:sz w:val="24"/>
          <w:szCs w:val="24"/>
        </w:rPr>
      </w:pPr>
      <w:r>
        <w:rPr>
          <w:rFonts w:ascii="Times New Roman" w:hAnsi="Times New Roman"/>
          <w:sz w:val="24"/>
          <w:szCs w:val="24"/>
        </w:rPr>
        <w:t>При определении стоимости чистых активов в состав обязательств включается резерв на выплату вознаграждения Управляющей компании, специализированному депозитарию, аудиторской организации, лицу, осуществляющему ведение реестра владельцев инвестиционных паев паевого инвестиционного фонда (далее - резерв на выплату вознаграждения), определенный исходя из размера вознаграждения, предусмотренного соответствующим лицам правилами доверительного управления паевым инвестиционным фондом (Правила ДУ ПИФ). В состав обязательств не включается резерв на выплату вознаграждения, размер которого зависит от результатов инвестирования.</w:t>
      </w:r>
    </w:p>
    <w:p w14:paraId="68F47A3C" w14:textId="77777777" w:rsidR="000C1E0E" w:rsidRDefault="000C1E0E" w:rsidP="000C1E0E">
      <w:pPr>
        <w:widowControl w:val="0"/>
        <w:numPr>
          <w:ilvl w:val="2"/>
          <w:numId w:val="4"/>
        </w:numPr>
        <w:spacing w:before="60" w:after="60" w:line="240" w:lineRule="auto"/>
        <w:rPr>
          <w:rFonts w:ascii="Times New Roman" w:hAnsi="Times New Roman"/>
          <w:sz w:val="24"/>
          <w:szCs w:val="24"/>
        </w:rPr>
      </w:pPr>
      <w:r>
        <w:rPr>
          <w:rFonts w:ascii="Times New Roman" w:hAnsi="Times New Roman"/>
          <w:sz w:val="24"/>
          <w:szCs w:val="24"/>
        </w:rPr>
        <w:t>Не допускается включение в состав обязательств иных резервов, в том числе резерва на оплату расходов, связанных с доверительным управлением имуществом, составляющим паевой инвестиционный фонд.</w:t>
      </w:r>
    </w:p>
    <w:p w14:paraId="0602461D" w14:textId="77777777" w:rsidR="000C1E0E" w:rsidRDefault="000C1E0E" w:rsidP="000C1E0E">
      <w:pPr>
        <w:widowControl w:val="0"/>
        <w:numPr>
          <w:ilvl w:val="2"/>
          <w:numId w:val="4"/>
        </w:numPr>
        <w:spacing w:before="60" w:after="60" w:line="240" w:lineRule="auto"/>
        <w:jc w:val="left"/>
        <w:rPr>
          <w:rFonts w:ascii="Times New Roman" w:hAnsi="Times New Roman"/>
          <w:sz w:val="24"/>
          <w:szCs w:val="24"/>
        </w:rPr>
      </w:pPr>
      <w:r>
        <w:rPr>
          <w:rFonts w:ascii="Times New Roman" w:hAnsi="Times New Roman"/>
          <w:sz w:val="24"/>
          <w:szCs w:val="24"/>
        </w:rPr>
        <w:t xml:space="preserve"> Стоимость чистых активов паевого инвестиционного фонда определяется:</w:t>
      </w:r>
    </w:p>
    <w:p w14:paraId="204872BF" w14:textId="77777777" w:rsidR="000C1E0E" w:rsidRDefault="000C1E0E" w:rsidP="000C1E0E">
      <w:pPr>
        <w:spacing w:before="60" w:after="60" w:line="240" w:lineRule="auto"/>
        <w:ind w:left="709"/>
        <w:jc w:val="left"/>
        <w:rPr>
          <w:rFonts w:ascii="Times New Roman" w:hAnsi="Times New Roman"/>
          <w:sz w:val="24"/>
          <w:szCs w:val="24"/>
        </w:rPr>
      </w:pPr>
      <w:r>
        <w:rPr>
          <w:rFonts w:ascii="Times New Roman" w:hAnsi="Times New Roman"/>
          <w:sz w:val="24"/>
          <w:szCs w:val="24"/>
        </w:rPr>
        <w:t>на дату завершения (окончания) формирования паевого инвестиционного фонда;</w:t>
      </w:r>
    </w:p>
    <w:p w14:paraId="1666C34F" w14:textId="77777777" w:rsidR="000C1E0E" w:rsidRDefault="000C1E0E" w:rsidP="000C1E0E">
      <w:pPr>
        <w:spacing w:before="60" w:after="60" w:line="240" w:lineRule="auto"/>
        <w:ind w:left="709"/>
        <w:jc w:val="left"/>
        <w:rPr>
          <w:rFonts w:ascii="Times New Roman" w:hAnsi="Times New Roman"/>
          <w:sz w:val="24"/>
          <w:szCs w:val="24"/>
        </w:rPr>
      </w:pPr>
      <w:r>
        <w:rPr>
          <w:rFonts w:ascii="Times New Roman" w:hAnsi="Times New Roman"/>
          <w:sz w:val="24"/>
          <w:szCs w:val="24"/>
        </w:rPr>
        <w:t>в случае приостановления выдачи, погашения и обмена инвестиционных паев - на дату возобновления их выдачи, погашения и обмена;</w:t>
      </w:r>
    </w:p>
    <w:p w14:paraId="7F5F70D5" w14:textId="77777777" w:rsidR="000C1E0E" w:rsidRDefault="000C1E0E" w:rsidP="000C1E0E">
      <w:pPr>
        <w:spacing w:before="60" w:after="60" w:line="240" w:lineRule="auto"/>
        <w:ind w:left="709"/>
        <w:jc w:val="left"/>
        <w:rPr>
          <w:rFonts w:ascii="Times New Roman" w:hAnsi="Times New Roman"/>
          <w:sz w:val="24"/>
          <w:szCs w:val="24"/>
        </w:rPr>
      </w:pPr>
      <w:r>
        <w:rPr>
          <w:rFonts w:ascii="Times New Roman" w:hAnsi="Times New Roman"/>
          <w:sz w:val="24"/>
          <w:szCs w:val="24"/>
        </w:rPr>
        <w:t>в случае прекращения паевого инвестиционного фонда - на дату возникновения основания его прекращения;</w:t>
      </w:r>
    </w:p>
    <w:p w14:paraId="0B7891FE" w14:textId="77777777" w:rsidR="000C1E0E" w:rsidRDefault="000C1E0E" w:rsidP="000C1E0E">
      <w:pPr>
        <w:spacing w:before="60" w:after="60" w:line="240" w:lineRule="auto"/>
        <w:ind w:left="709"/>
        <w:jc w:val="left"/>
        <w:rPr>
          <w:rFonts w:ascii="Times New Roman" w:hAnsi="Times New Roman"/>
          <w:sz w:val="24"/>
          <w:szCs w:val="24"/>
        </w:rPr>
      </w:pPr>
      <w:r>
        <w:rPr>
          <w:rFonts w:ascii="Times New Roman" w:hAnsi="Times New Roman"/>
          <w:sz w:val="24"/>
          <w:szCs w:val="24"/>
        </w:rPr>
        <w:t>после завершения (окончания) формирования открытого паевого инвестиционного фонда - каждый рабочий день.</w:t>
      </w:r>
    </w:p>
    <w:p w14:paraId="2B85856E" w14:textId="77777777" w:rsidR="000C1E0E" w:rsidRDefault="000C1E0E" w:rsidP="000C1E0E">
      <w:pPr>
        <w:widowControl w:val="0"/>
        <w:numPr>
          <w:ilvl w:val="2"/>
          <w:numId w:val="4"/>
        </w:numPr>
        <w:spacing w:before="60" w:after="60" w:line="240" w:lineRule="auto"/>
        <w:rPr>
          <w:rFonts w:ascii="Times New Roman" w:hAnsi="Times New Roman"/>
          <w:sz w:val="24"/>
          <w:szCs w:val="24"/>
        </w:rPr>
      </w:pPr>
      <w:r>
        <w:rPr>
          <w:rFonts w:ascii="Times New Roman" w:hAnsi="Times New Roman"/>
          <w:sz w:val="24"/>
          <w:szCs w:val="24"/>
        </w:rPr>
        <w:t>Стоимость чистых активов определяется не позднее рабочего дня, следующего за днем, по состоянию на который осуществляется определение стоимости чистых активов.</w:t>
      </w:r>
    </w:p>
    <w:p w14:paraId="3C5CA3BA" w14:textId="77777777" w:rsidR="000C1E0E" w:rsidRDefault="000C1E0E" w:rsidP="000C1E0E">
      <w:pPr>
        <w:widowControl w:val="0"/>
        <w:numPr>
          <w:ilvl w:val="2"/>
          <w:numId w:val="4"/>
        </w:numPr>
        <w:spacing w:before="60" w:after="60" w:line="240" w:lineRule="auto"/>
        <w:rPr>
          <w:rFonts w:ascii="Times New Roman" w:hAnsi="Times New Roman"/>
          <w:sz w:val="24"/>
          <w:szCs w:val="24"/>
        </w:rPr>
      </w:pPr>
      <w:r>
        <w:rPr>
          <w:rFonts w:ascii="Times New Roman" w:hAnsi="Times New Roman"/>
          <w:sz w:val="24"/>
          <w:szCs w:val="24"/>
        </w:rPr>
        <w:t>Данные, подтверждающие расчеты величин, произведенные в соответствии с настоящими Правилами СЧА, хранятся не менее трех лет с даты соответствующего расчета.</w:t>
      </w:r>
    </w:p>
    <w:p w14:paraId="4901FD72" w14:textId="77777777" w:rsidR="000C1E0E" w:rsidRDefault="000C1E0E" w:rsidP="000C1E0E">
      <w:pPr>
        <w:widowControl w:val="0"/>
        <w:numPr>
          <w:ilvl w:val="2"/>
          <w:numId w:val="4"/>
        </w:numPr>
        <w:spacing w:before="60" w:after="60" w:line="240" w:lineRule="auto"/>
        <w:rPr>
          <w:rFonts w:ascii="Times New Roman" w:hAnsi="Times New Roman"/>
          <w:sz w:val="24"/>
          <w:szCs w:val="24"/>
        </w:rPr>
      </w:pPr>
      <w:r>
        <w:rPr>
          <w:rFonts w:ascii="Times New Roman" w:hAnsi="Times New Roman"/>
          <w:sz w:val="24"/>
          <w:szCs w:val="24"/>
        </w:rPr>
        <w:t>Результаты определения стоимости чистых активов Фонда, а также расчетной стоимости инвестиционного пая Фонда отражаются в справке о стоимости чистых активов, за исключением определения стоимости чистых активов паевого инвестиционного фонда до завершения его формирования.</w:t>
      </w:r>
    </w:p>
    <w:p w14:paraId="6C64E750" w14:textId="77777777" w:rsidR="000C1E0E" w:rsidRDefault="000C1E0E" w:rsidP="000C1E0E">
      <w:pPr>
        <w:widowControl w:val="0"/>
        <w:numPr>
          <w:ilvl w:val="0"/>
          <w:numId w:val="4"/>
        </w:numPr>
        <w:tabs>
          <w:tab w:val="left" w:pos="567"/>
          <w:tab w:val="left" w:pos="851"/>
        </w:tabs>
        <w:spacing w:before="240" w:after="60" w:line="240" w:lineRule="auto"/>
        <w:outlineLvl w:val="0"/>
        <w:rPr>
          <w:rFonts w:ascii="Times New Roman" w:hAnsi="Times New Roman"/>
          <w:b/>
          <w:sz w:val="24"/>
          <w:szCs w:val="24"/>
        </w:rPr>
      </w:pPr>
      <w:r>
        <w:rPr>
          <w:rFonts w:ascii="Times New Roman" w:hAnsi="Times New Roman"/>
          <w:b/>
          <w:sz w:val="24"/>
          <w:szCs w:val="24"/>
        </w:rPr>
        <w:t>КРИТЕРИИ ПРИЗНАНИЯ (ПРЕКРАЩЕНИЯ ПРИЗНАНИЯ) АКТИВОВ (ОБЯЗАТЕЛЬСТВ).</w:t>
      </w:r>
    </w:p>
    <w:p w14:paraId="760ACD4A" w14:textId="77777777" w:rsidR="000C1E0E" w:rsidRDefault="000C1E0E" w:rsidP="000C1E0E">
      <w:pPr>
        <w:widowControl w:val="0"/>
        <w:numPr>
          <w:ilvl w:val="1"/>
          <w:numId w:val="4"/>
        </w:numPr>
        <w:tabs>
          <w:tab w:val="left" w:pos="426"/>
        </w:tabs>
        <w:spacing w:before="60" w:after="100" w:line="240" w:lineRule="auto"/>
        <w:ind w:left="437" w:hanging="437"/>
        <w:outlineLvl w:val="0"/>
        <w:rPr>
          <w:rFonts w:ascii="Times New Roman" w:hAnsi="Times New Roman"/>
          <w:sz w:val="24"/>
          <w:szCs w:val="24"/>
        </w:rPr>
      </w:pPr>
      <w:r>
        <w:rPr>
          <w:rFonts w:ascii="Times New Roman" w:hAnsi="Times New Roman"/>
          <w:sz w:val="24"/>
          <w:szCs w:val="24"/>
        </w:rPr>
        <w:t>Активы (обязательства) принимаются к расчету стоимости чистых активов в случае их признания в соответствии с Международными стандартами финансовой отчетности (далее – МСФО), введенными в действие на территории Российской Федерации.</w:t>
      </w:r>
    </w:p>
    <w:p w14:paraId="17727903" w14:textId="77777777" w:rsidR="000C1E0E" w:rsidRDefault="000C1E0E" w:rsidP="000C1E0E">
      <w:pPr>
        <w:widowControl w:val="0"/>
        <w:numPr>
          <w:ilvl w:val="1"/>
          <w:numId w:val="4"/>
        </w:numPr>
        <w:tabs>
          <w:tab w:val="left" w:pos="426"/>
        </w:tabs>
        <w:spacing w:before="60" w:after="100" w:line="240" w:lineRule="auto"/>
        <w:ind w:left="437" w:hanging="437"/>
        <w:outlineLvl w:val="0"/>
        <w:rPr>
          <w:rFonts w:ascii="Times New Roman" w:hAnsi="Times New Roman"/>
          <w:sz w:val="24"/>
          <w:szCs w:val="24"/>
        </w:rPr>
      </w:pPr>
      <w:r>
        <w:rPr>
          <w:rFonts w:ascii="Times New Roman" w:hAnsi="Times New Roman"/>
          <w:sz w:val="24"/>
          <w:szCs w:val="24"/>
        </w:rPr>
        <w:t xml:space="preserve">Стоимость активов, в том числе определенная на основании отчета оценщика (далее - отчет оценщика), составленного в соответствии с требованиями Федерального закона «Об оценочной деятельности в Российской Федерации» определяется без учета налогов, которые уплачиваются в соответствии с законодательством Российской Федерации или иностранного государства при приобретении и реализации указанных активов </w:t>
      </w:r>
    </w:p>
    <w:p w14:paraId="1D991593" w14:textId="77777777" w:rsidR="000C1E0E" w:rsidRDefault="000C1E0E" w:rsidP="000C1E0E">
      <w:pPr>
        <w:keepNext/>
        <w:widowControl w:val="0"/>
        <w:numPr>
          <w:ilvl w:val="1"/>
          <w:numId w:val="4"/>
        </w:numPr>
        <w:tabs>
          <w:tab w:val="left" w:pos="426"/>
        </w:tabs>
        <w:spacing w:before="60" w:after="100" w:line="240" w:lineRule="auto"/>
        <w:ind w:left="437" w:hanging="437"/>
        <w:outlineLvl w:val="0"/>
        <w:rPr>
          <w:rFonts w:ascii="Times New Roman" w:hAnsi="Times New Roman"/>
          <w:sz w:val="24"/>
          <w:szCs w:val="24"/>
        </w:rPr>
      </w:pPr>
      <w:r>
        <w:rPr>
          <w:rFonts w:ascii="Times New Roman" w:hAnsi="Times New Roman"/>
          <w:sz w:val="24"/>
          <w:szCs w:val="24"/>
        </w:rPr>
        <w:lastRenderedPageBreak/>
        <w:t>В случае определения стоимости актива на основании отчета оценщика дата оценки стоимости должна быть не ранее шести месяцев до даты, по состоянию на которую определяется стоимость чистых активов. При этом стоимость актива определяется на основании доступного на момент определения стоимости чистых активов отчета оценщика с датой оценки наиболее близкой к дате определения стоимости актива.</w:t>
      </w:r>
    </w:p>
    <w:p w14:paraId="14DD65B2" w14:textId="77777777" w:rsidR="000C1E0E" w:rsidRDefault="000C1E0E" w:rsidP="000C1E0E">
      <w:pPr>
        <w:keepNext/>
        <w:widowControl w:val="0"/>
        <w:numPr>
          <w:ilvl w:val="1"/>
          <w:numId w:val="4"/>
        </w:numPr>
        <w:tabs>
          <w:tab w:val="left" w:pos="426"/>
        </w:tabs>
        <w:spacing w:before="60" w:after="100" w:line="240" w:lineRule="auto"/>
        <w:ind w:left="437" w:hanging="437"/>
        <w:outlineLvl w:val="0"/>
        <w:rPr>
          <w:rFonts w:ascii="Times New Roman" w:hAnsi="Times New Roman"/>
          <w:sz w:val="24"/>
          <w:szCs w:val="24"/>
        </w:rPr>
      </w:pPr>
      <w:r>
        <w:rPr>
          <w:rFonts w:ascii="Times New Roman" w:hAnsi="Times New Roman"/>
          <w:sz w:val="24"/>
          <w:szCs w:val="24"/>
        </w:rPr>
        <w:t>В случае если настоящими Правилами определения СЧА в целях определения справедливой стоимости актива (величины обязательства) предусмотрено использование стоимости, определенной на основании  отчета оценщика, при этом правила доверительного управления не содержат указание на наличии в паевом инвестиционном фонде оценщика, то такая оценка производится за счет средств Управляющей компании при соблюдении требований к оценщику, определенных требованиями действующего законодательства Российской Федерации.</w:t>
      </w:r>
    </w:p>
    <w:p w14:paraId="0C932779" w14:textId="77777777" w:rsidR="000C1E0E" w:rsidRDefault="000C1E0E" w:rsidP="000C1E0E">
      <w:pPr>
        <w:keepNext/>
        <w:widowControl w:val="0"/>
        <w:numPr>
          <w:ilvl w:val="1"/>
          <w:numId w:val="4"/>
        </w:numPr>
        <w:tabs>
          <w:tab w:val="left" w:pos="426"/>
        </w:tabs>
        <w:spacing w:before="60" w:after="100" w:line="240" w:lineRule="auto"/>
        <w:ind w:left="437" w:hanging="437"/>
        <w:outlineLvl w:val="0"/>
        <w:rPr>
          <w:rFonts w:ascii="Times New Roman" w:hAnsi="Times New Roman"/>
          <w:sz w:val="24"/>
          <w:szCs w:val="24"/>
        </w:rPr>
      </w:pPr>
      <w:r>
        <w:rPr>
          <w:rFonts w:ascii="Times New Roman" w:hAnsi="Times New Roman"/>
          <w:sz w:val="24"/>
          <w:szCs w:val="24"/>
        </w:rPr>
        <w:t>Стоимость актива может определяться для целей настоящих Правил определения СЧА на основании отчета оценщика, если такой отчет составлен оценщиком, в отношении которого со стороны саморегулируемых организаций оценщиков не применялись в течение двух лет в количестве двух и более раз меры дисциплинарного воздействия, предусмотренных Федеральным законом «Об оценочной деятельности в Российской Федерации», а также внутренними документами саморегулируемых организаций оценщиков, и стаж осуществления оценочной деятельности которого составляет не менее трех лет.</w:t>
      </w:r>
    </w:p>
    <w:p w14:paraId="045DFD37" w14:textId="77777777" w:rsidR="000C1E0E" w:rsidRDefault="000C1E0E" w:rsidP="000C1E0E">
      <w:pPr>
        <w:keepNext/>
        <w:widowControl w:val="0"/>
        <w:numPr>
          <w:ilvl w:val="1"/>
          <w:numId w:val="4"/>
        </w:numPr>
        <w:tabs>
          <w:tab w:val="left" w:pos="426"/>
        </w:tabs>
        <w:spacing w:before="60" w:after="100" w:line="240" w:lineRule="auto"/>
        <w:ind w:left="437" w:hanging="437"/>
        <w:outlineLvl w:val="0"/>
        <w:rPr>
          <w:rFonts w:ascii="Times New Roman" w:hAnsi="Times New Roman"/>
          <w:sz w:val="24"/>
          <w:szCs w:val="24"/>
        </w:rPr>
      </w:pPr>
      <w:r>
        <w:rPr>
          <w:rFonts w:ascii="Times New Roman" w:hAnsi="Times New Roman"/>
          <w:sz w:val="24"/>
          <w:szCs w:val="24"/>
        </w:rPr>
        <w:t>Активами признаются:</w:t>
      </w:r>
    </w:p>
    <w:p w14:paraId="24C7D98F" w14:textId="77777777" w:rsidR="000C1E0E" w:rsidRDefault="000C1E0E" w:rsidP="000C1E0E">
      <w:pPr>
        <w:spacing w:before="60" w:after="60" w:line="240" w:lineRule="auto"/>
        <w:ind w:left="426"/>
        <w:rPr>
          <w:rFonts w:ascii="Times New Roman" w:hAnsi="Times New Roman"/>
          <w:sz w:val="24"/>
          <w:szCs w:val="24"/>
        </w:rPr>
      </w:pPr>
      <w:r>
        <w:rPr>
          <w:rFonts w:ascii="Times New Roman" w:hAnsi="Times New Roman"/>
          <w:sz w:val="24"/>
          <w:szCs w:val="24"/>
        </w:rPr>
        <w:t>денежные средства;</w:t>
      </w:r>
    </w:p>
    <w:p w14:paraId="21F20DBB" w14:textId="77777777" w:rsidR="000C1E0E" w:rsidRDefault="000C1E0E" w:rsidP="000C1E0E">
      <w:pPr>
        <w:spacing w:before="60" w:after="60" w:line="240" w:lineRule="auto"/>
        <w:ind w:left="426"/>
        <w:rPr>
          <w:rFonts w:ascii="Times New Roman" w:hAnsi="Times New Roman"/>
          <w:sz w:val="24"/>
          <w:szCs w:val="24"/>
        </w:rPr>
      </w:pPr>
      <w:r>
        <w:rPr>
          <w:rFonts w:ascii="Times New Roman" w:hAnsi="Times New Roman"/>
          <w:sz w:val="24"/>
          <w:szCs w:val="24"/>
        </w:rPr>
        <w:t>ценные бумаги, предусмотренные инвестиционной декларацией Фонда;</w:t>
      </w:r>
    </w:p>
    <w:p w14:paraId="5E057D0C" w14:textId="77777777" w:rsidR="000C1E0E" w:rsidRDefault="000C1E0E" w:rsidP="000C1E0E">
      <w:pPr>
        <w:spacing w:before="60" w:after="60" w:line="240" w:lineRule="auto"/>
        <w:ind w:left="426"/>
        <w:rPr>
          <w:rFonts w:ascii="Times New Roman" w:hAnsi="Times New Roman"/>
          <w:sz w:val="24"/>
          <w:szCs w:val="24"/>
        </w:rPr>
      </w:pPr>
      <w:r>
        <w:rPr>
          <w:rFonts w:ascii="Times New Roman" w:hAnsi="Times New Roman"/>
          <w:sz w:val="24"/>
          <w:szCs w:val="24"/>
        </w:rPr>
        <w:t>требования к кредитной организации выплатить денежный эквивалент драгоценных металлов по текущему курсу;</w:t>
      </w:r>
    </w:p>
    <w:p w14:paraId="139B2575" w14:textId="77777777" w:rsidR="000C1E0E" w:rsidRDefault="000C1E0E" w:rsidP="000C1E0E">
      <w:pPr>
        <w:spacing w:before="60" w:after="60" w:line="240" w:lineRule="auto"/>
        <w:ind w:left="426"/>
        <w:rPr>
          <w:rFonts w:ascii="Times New Roman" w:hAnsi="Times New Roman"/>
          <w:sz w:val="24"/>
          <w:szCs w:val="24"/>
        </w:rPr>
      </w:pPr>
      <w:r>
        <w:rPr>
          <w:rFonts w:ascii="Times New Roman" w:hAnsi="Times New Roman"/>
          <w:sz w:val="24"/>
          <w:szCs w:val="24"/>
        </w:rPr>
        <w:t>дебиторская задолженность;</w:t>
      </w:r>
    </w:p>
    <w:p w14:paraId="41F8A2CA" w14:textId="77777777" w:rsidR="000C1E0E" w:rsidRDefault="000C1E0E" w:rsidP="000C1E0E">
      <w:pPr>
        <w:spacing w:before="60" w:after="60" w:line="240" w:lineRule="auto"/>
        <w:ind w:left="426"/>
        <w:rPr>
          <w:rFonts w:ascii="Times New Roman" w:hAnsi="Times New Roman"/>
          <w:sz w:val="24"/>
          <w:szCs w:val="24"/>
        </w:rPr>
      </w:pPr>
      <w:r>
        <w:rPr>
          <w:rFonts w:ascii="Times New Roman" w:hAnsi="Times New Roman"/>
          <w:sz w:val="24"/>
          <w:szCs w:val="24"/>
        </w:rPr>
        <w:t>иные разрешенные активы.</w:t>
      </w:r>
    </w:p>
    <w:p w14:paraId="7A89FC71" w14:textId="77777777" w:rsidR="000C1E0E" w:rsidRDefault="000C1E0E" w:rsidP="000C1E0E">
      <w:pPr>
        <w:keepNext/>
        <w:widowControl w:val="0"/>
        <w:numPr>
          <w:ilvl w:val="1"/>
          <w:numId w:val="4"/>
        </w:numPr>
        <w:tabs>
          <w:tab w:val="left" w:pos="426"/>
        </w:tabs>
        <w:spacing w:before="60" w:after="100" w:line="240" w:lineRule="auto"/>
        <w:ind w:left="437" w:hanging="437"/>
        <w:outlineLvl w:val="0"/>
        <w:rPr>
          <w:rFonts w:ascii="Times New Roman" w:hAnsi="Times New Roman"/>
          <w:sz w:val="24"/>
          <w:szCs w:val="24"/>
        </w:rPr>
      </w:pPr>
      <w:r>
        <w:rPr>
          <w:rFonts w:ascii="Times New Roman" w:hAnsi="Times New Roman"/>
          <w:sz w:val="24"/>
          <w:szCs w:val="24"/>
        </w:rPr>
        <w:t>Под ценными бумагами, указанными в абзаце втором пункта 2.6 настоящих Правил определения СЧА, понимаются следующие виды активов:</w:t>
      </w:r>
    </w:p>
    <w:p w14:paraId="1AA66BD2" w14:textId="77777777" w:rsidR="000C1E0E" w:rsidRDefault="000C1E0E" w:rsidP="000C1E0E">
      <w:pPr>
        <w:spacing w:before="60" w:after="60" w:line="240" w:lineRule="auto"/>
        <w:ind w:left="426"/>
        <w:rPr>
          <w:rFonts w:ascii="Times New Roman" w:hAnsi="Times New Roman"/>
          <w:sz w:val="24"/>
          <w:szCs w:val="24"/>
        </w:rPr>
      </w:pPr>
      <w:r>
        <w:rPr>
          <w:rFonts w:ascii="Times New Roman" w:hAnsi="Times New Roman"/>
          <w:sz w:val="24"/>
          <w:szCs w:val="24"/>
        </w:rPr>
        <w:t>акции российских акционерных обществ;</w:t>
      </w:r>
    </w:p>
    <w:p w14:paraId="7D8318FF" w14:textId="77777777" w:rsidR="000C1E0E" w:rsidRDefault="000C1E0E" w:rsidP="000C1E0E">
      <w:pPr>
        <w:spacing w:before="60" w:after="60" w:line="240" w:lineRule="auto"/>
        <w:ind w:left="426"/>
        <w:rPr>
          <w:rFonts w:ascii="Times New Roman" w:hAnsi="Times New Roman"/>
          <w:sz w:val="24"/>
          <w:szCs w:val="24"/>
        </w:rPr>
      </w:pPr>
      <w:r>
        <w:rPr>
          <w:rFonts w:ascii="Times New Roman" w:hAnsi="Times New Roman"/>
          <w:sz w:val="24"/>
          <w:szCs w:val="24"/>
        </w:rPr>
        <w:t>акции иностранных акционерных обществ;</w:t>
      </w:r>
    </w:p>
    <w:p w14:paraId="2962FA4E" w14:textId="77777777" w:rsidR="000C1E0E" w:rsidRDefault="000C1E0E" w:rsidP="000C1E0E">
      <w:pPr>
        <w:spacing w:before="60" w:after="60" w:line="240" w:lineRule="auto"/>
        <w:ind w:left="426"/>
        <w:rPr>
          <w:rFonts w:ascii="Times New Roman" w:hAnsi="Times New Roman"/>
          <w:sz w:val="24"/>
          <w:szCs w:val="24"/>
        </w:rPr>
      </w:pPr>
      <w:r>
        <w:rPr>
          <w:rFonts w:ascii="Times New Roman" w:hAnsi="Times New Roman"/>
          <w:sz w:val="24"/>
          <w:szCs w:val="24"/>
        </w:rPr>
        <w:t>долговые инструменты;</w:t>
      </w:r>
    </w:p>
    <w:p w14:paraId="55294BFD" w14:textId="77777777" w:rsidR="000C1E0E" w:rsidRDefault="000C1E0E" w:rsidP="000C1E0E">
      <w:pPr>
        <w:spacing w:before="60" w:after="60" w:line="240" w:lineRule="auto"/>
        <w:ind w:left="426"/>
        <w:rPr>
          <w:rFonts w:ascii="Times New Roman" w:hAnsi="Times New Roman"/>
          <w:sz w:val="24"/>
          <w:szCs w:val="24"/>
        </w:rPr>
      </w:pPr>
      <w:r>
        <w:rPr>
          <w:rFonts w:ascii="Times New Roman" w:hAnsi="Times New Roman"/>
          <w:sz w:val="24"/>
          <w:szCs w:val="24"/>
        </w:rPr>
        <w:t>инвестиционные паи паевых инвестиционных фондов;</w:t>
      </w:r>
    </w:p>
    <w:p w14:paraId="2C5517F5" w14:textId="77777777" w:rsidR="000C1E0E" w:rsidRDefault="000C1E0E" w:rsidP="000C1E0E">
      <w:pPr>
        <w:spacing w:before="60" w:after="60" w:line="240" w:lineRule="auto"/>
        <w:ind w:left="426"/>
        <w:rPr>
          <w:rFonts w:ascii="Times New Roman" w:hAnsi="Times New Roman"/>
          <w:sz w:val="24"/>
          <w:szCs w:val="24"/>
        </w:rPr>
      </w:pPr>
      <w:r>
        <w:rPr>
          <w:rFonts w:ascii="Times New Roman" w:hAnsi="Times New Roman"/>
          <w:sz w:val="24"/>
          <w:szCs w:val="24"/>
        </w:rPr>
        <w:t>паи (акции) иностранных инвестиционных фондов;</w:t>
      </w:r>
    </w:p>
    <w:p w14:paraId="5784CCD2" w14:textId="77777777" w:rsidR="000C1E0E" w:rsidRDefault="000C1E0E" w:rsidP="000C1E0E">
      <w:pPr>
        <w:spacing w:before="60" w:after="60" w:line="240" w:lineRule="auto"/>
        <w:ind w:left="426"/>
        <w:rPr>
          <w:rFonts w:ascii="Times New Roman" w:hAnsi="Times New Roman"/>
          <w:sz w:val="24"/>
          <w:szCs w:val="24"/>
        </w:rPr>
      </w:pPr>
      <w:r>
        <w:rPr>
          <w:rFonts w:ascii="Times New Roman" w:hAnsi="Times New Roman"/>
          <w:sz w:val="24"/>
          <w:szCs w:val="24"/>
        </w:rPr>
        <w:t>российские и иностранные депозитарные расписки на ценные бумаги;</w:t>
      </w:r>
    </w:p>
    <w:p w14:paraId="1CB284AF" w14:textId="77777777" w:rsidR="000C1E0E" w:rsidRDefault="000C1E0E" w:rsidP="000C1E0E">
      <w:pPr>
        <w:spacing w:before="60" w:after="60" w:line="240" w:lineRule="auto"/>
        <w:ind w:left="426"/>
        <w:rPr>
          <w:rFonts w:ascii="Times New Roman" w:hAnsi="Times New Roman"/>
          <w:sz w:val="24"/>
          <w:szCs w:val="24"/>
        </w:rPr>
      </w:pPr>
      <w:r>
        <w:rPr>
          <w:rFonts w:ascii="Times New Roman" w:hAnsi="Times New Roman"/>
          <w:sz w:val="24"/>
          <w:szCs w:val="24"/>
        </w:rPr>
        <w:t>депозитные сертификаты российских кредитных организаций и иностранных банков иностранных государств;</w:t>
      </w:r>
    </w:p>
    <w:p w14:paraId="0798F2BD" w14:textId="77777777" w:rsidR="000C1E0E" w:rsidRDefault="000C1E0E" w:rsidP="000C1E0E">
      <w:pPr>
        <w:spacing w:before="60" w:after="60" w:line="240" w:lineRule="auto"/>
        <w:ind w:left="426"/>
        <w:rPr>
          <w:rFonts w:ascii="Times New Roman" w:hAnsi="Times New Roman"/>
          <w:sz w:val="24"/>
          <w:szCs w:val="24"/>
        </w:rPr>
      </w:pPr>
      <w:r>
        <w:rPr>
          <w:rFonts w:ascii="Times New Roman" w:hAnsi="Times New Roman"/>
          <w:sz w:val="24"/>
          <w:szCs w:val="24"/>
        </w:rPr>
        <w:t>иные ценные бумаги, предусмотренные Правилами доверительного управления Фондом.</w:t>
      </w:r>
    </w:p>
    <w:p w14:paraId="11A4E2E0" w14:textId="77777777" w:rsidR="000C1E0E" w:rsidRDefault="000C1E0E" w:rsidP="000C1E0E">
      <w:pPr>
        <w:widowControl w:val="0"/>
        <w:numPr>
          <w:ilvl w:val="1"/>
          <w:numId w:val="4"/>
        </w:numPr>
        <w:tabs>
          <w:tab w:val="left" w:pos="426"/>
        </w:tabs>
        <w:spacing w:before="60" w:after="100" w:line="240" w:lineRule="auto"/>
        <w:ind w:left="437" w:hanging="437"/>
        <w:outlineLvl w:val="0"/>
        <w:rPr>
          <w:rFonts w:ascii="Times New Roman" w:hAnsi="Times New Roman"/>
          <w:sz w:val="24"/>
          <w:szCs w:val="24"/>
        </w:rPr>
      </w:pPr>
      <w:r>
        <w:rPr>
          <w:rFonts w:ascii="Times New Roman" w:hAnsi="Times New Roman"/>
          <w:sz w:val="24"/>
          <w:szCs w:val="24"/>
        </w:rPr>
        <w:t>Обязательствами Фонда признаются:</w:t>
      </w:r>
    </w:p>
    <w:p w14:paraId="7DA07746" w14:textId="77777777" w:rsidR="000C1E0E" w:rsidRDefault="000C1E0E" w:rsidP="000C1E0E">
      <w:pPr>
        <w:tabs>
          <w:tab w:val="left" w:pos="426"/>
        </w:tabs>
        <w:spacing w:before="60" w:line="240" w:lineRule="auto"/>
        <w:ind w:left="437"/>
        <w:outlineLvl w:val="0"/>
        <w:rPr>
          <w:rFonts w:ascii="Times New Roman" w:hAnsi="Times New Roman"/>
          <w:sz w:val="24"/>
          <w:szCs w:val="24"/>
        </w:rPr>
      </w:pPr>
      <w:r>
        <w:rPr>
          <w:rFonts w:ascii="Times New Roman" w:hAnsi="Times New Roman"/>
          <w:sz w:val="24"/>
          <w:szCs w:val="24"/>
        </w:rPr>
        <w:t>обязательства по выдаче инвестиционных паев;</w:t>
      </w:r>
    </w:p>
    <w:p w14:paraId="100CB8B6" w14:textId="77777777" w:rsidR="000C1E0E" w:rsidRDefault="000C1E0E" w:rsidP="000C1E0E">
      <w:pPr>
        <w:tabs>
          <w:tab w:val="left" w:pos="426"/>
        </w:tabs>
        <w:spacing w:before="60" w:line="240" w:lineRule="auto"/>
        <w:ind w:left="437"/>
        <w:outlineLvl w:val="0"/>
        <w:rPr>
          <w:rFonts w:ascii="Times New Roman" w:hAnsi="Times New Roman"/>
          <w:sz w:val="24"/>
          <w:szCs w:val="24"/>
        </w:rPr>
      </w:pPr>
      <w:r>
        <w:rPr>
          <w:rFonts w:ascii="Times New Roman" w:hAnsi="Times New Roman"/>
          <w:sz w:val="24"/>
          <w:szCs w:val="24"/>
        </w:rPr>
        <w:t>обязательства по выплате денежной компенсации при погашении инвестиционных паев;</w:t>
      </w:r>
    </w:p>
    <w:p w14:paraId="5316D065" w14:textId="77777777" w:rsidR="000C1E0E" w:rsidRDefault="000C1E0E" w:rsidP="000C1E0E">
      <w:pPr>
        <w:tabs>
          <w:tab w:val="left" w:pos="426"/>
        </w:tabs>
        <w:spacing w:before="60" w:line="240" w:lineRule="auto"/>
        <w:ind w:left="437"/>
        <w:outlineLvl w:val="0"/>
        <w:rPr>
          <w:rFonts w:ascii="Times New Roman" w:hAnsi="Times New Roman"/>
          <w:sz w:val="24"/>
          <w:szCs w:val="24"/>
        </w:rPr>
      </w:pPr>
      <w:r>
        <w:rPr>
          <w:rFonts w:ascii="Times New Roman" w:hAnsi="Times New Roman"/>
          <w:sz w:val="24"/>
          <w:szCs w:val="24"/>
        </w:rPr>
        <w:t>обязательства по передаче денежных средств в паевой инвестиционный фонд, на инвестиционные паи которого осуществляется обмен;</w:t>
      </w:r>
    </w:p>
    <w:p w14:paraId="2D4587F6" w14:textId="77777777" w:rsidR="000C1E0E" w:rsidRDefault="000C1E0E" w:rsidP="000C1E0E">
      <w:pPr>
        <w:tabs>
          <w:tab w:val="left" w:pos="426"/>
        </w:tabs>
        <w:spacing w:before="60" w:line="240" w:lineRule="auto"/>
        <w:ind w:left="437"/>
        <w:outlineLvl w:val="0"/>
        <w:rPr>
          <w:rFonts w:ascii="Times New Roman" w:hAnsi="Times New Roman"/>
          <w:sz w:val="24"/>
          <w:szCs w:val="24"/>
        </w:rPr>
      </w:pPr>
      <w:r>
        <w:rPr>
          <w:rFonts w:ascii="Times New Roman" w:hAnsi="Times New Roman"/>
          <w:sz w:val="24"/>
          <w:szCs w:val="24"/>
        </w:rPr>
        <w:lastRenderedPageBreak/>
        <w:t>обязательства по возмещению за счет имущества, составляющего Фонд, собственных денежных средств Управляющей компании Фонда, использованных ею для выплаты денежной компенсации в связи с погашением инвестиционных паев;</w:t>
      </w:r>
    </w:p>
    <w:p w14:paraId="5F7DB6F7" w14:textId="77777777" w:rsidR="000C1E0E" w:rsidRDefault="000C1E0E" w:rsidP="000C1E0E">
      <w:pPr>
        <w:tabs>
          <w:tab w:val="left" w:pos="426"/>
        </w:tabs>
        <w:spacing w:before="60" w:line="240" w:lineRule="auto"/>
        <w:ind w:left="437"/>
        <w:outlineLvl w:val="0"/>
        <w:rPr>
          <w:rFonts w:ascii="Times New Roman" w:hAnsi="Times New Roman"/>
          <w:sz w:val="24"/>
          <w:szCs w:val="24"/>
        </w:rPr>
      </w:pPr>
      <w:r>
        <w:rPr>
          <w:rFonts w:ascii="Times New Roman" w:hAnsi="Times New Roman"/>
          <w:sz w:val="24"/>
          <w:szCs w:val="24"/>
        </w:rPr>
        <w:t>обязательства по возмещению за счет имущества, составляющего Фонд, собственных денежных средств Управляющей компании Фонда, использованных для выдачи займа Фонду в связи с недостаточностью денежных средств в имуществе Фонда для обмена паев Фонда;</w:t>
      </w:r>
    </w:p>
    <w:p w14:paraId="74E11052" w14:textId="77777777" w:rsidR="000C1E0E" w:rsidRDefault="000C1E0E" w:rsidP="000C1E0E">
      <w:pPr>
        <w:tabs>
          <w:tab w:val="left" w:pos="426"/>
        </w:tabs>
        <w:spacing w:before="60" w:line="240" w:lineRule="auto"/>
        <w:ind w:left="437"/>
        <w:outlineLvl w:val="0"/>
        <w:rPr>
          <w:rFonts w:ascii="Times New Roman" w:hAnsi="Times New Roman"/>
          <w:sz w:val="24"/>
          <w:szCs w:val="24"/>
        </w:rPr>
      </w:pPr>
      <w:r>
        <w:rPr>
          <w:rFonts w:ascii="Times New Roman" w:hAnsi="Times New Roman"/>
          <w:sz w:val="24"/>
          <w:szCs w:val="24"/>
        </w:rPr>
        <w:t xml:space="preserve">обязательства, подлежащие исполнению за счет активов Фонда, в том числе обязательства по выплате вознаграждения Управляющей компании, специализированному депозитарию, аудитору, лицу, осуществляющему ведение реестра владельцев инвестиционных паев Фонда, обязательства по уплате сумм скидок с расчетной стоимости инвестиционного пая (надбавок к расчетной стоимости инвестиционного пая) Управляющей компании Фонда и (или) агентам по выдаче, погашению и обмену инвестиционных паев, а также обязательства по оплате прочих расходов, осуществляемых за счет имущества Фонда в соответствии с требованиями действующего законодательства; </w:t>
      </w:r>
    </w:p>
    <w:p w14:paraId="793C1DE2" w14:textId="77777777" w:rsidR="000C1E0E" w:rsidRDefault="000C1E0E" w:rsidP="000C1E0E">
      <w:pPr>
        <w:tabs>
          <w:tab w:val="left" w:pos="426"/>
        </w:tabs>
        <w:spacing w:before="60" w:line="240" w:lineRule="auto"/>
        <w:ind w:left="437"/>
        <w:outlineLvl w:val="0"/>
        <w:rPr>
          <w:rFonts w:ascii="Times New Roman" w:hAnsi="Times New Roman"/>
          <w:sz w:val="24"/>
          <w:szCs w:val="24"/>
        </w:rPr>
      </w:pPr>
      <w:r>
        <w:rPr>
          <w:rFonts w:ascii="Times New Roman" w:hAnsi="Times New Roman"/>
          <w:sz w:val="24"/>
          <w:szCs w:val="24"/>
        </w:rPr>
        <w:t>резерв на выплату вознаграждения Управляющей компании, специализированному депозитарию, аудитору Фонда, лицу, осуществляющему ведение реестра владельцев инвестиционных паев Фонда (далее – резерв на выплату вознаграждения);</w:t>
      </w:r>
    </w:p>
    <w:p w14:paraId="1253704C" w14:textId="77777777" w:rsidR="000C1E0E" w:rsidRDefault="000C1E0E" w:rsidP="000C1E0E">
      <w:pPr>
        <w:tabs>
          <w:tab w:val="left" w:pos="426"/>
        </w:tabs>
        <w:spacing w:before="60" w:line="240" w:lineRule="auto"/>
        <w:ind w:left="437"/>
        <w:outlineLvl w:val="0"/>
        <w:rPr>
          <w:rFonts w:ascii="Times New Roman" w:hAnsi="Times New Roman"/>
          <w:sz w:val="24"/>
          <w:szCs w:val="24"/>
        </w:rPr>
      </w:pPr>
      <w:r>
        <w:rPr>
          <w:rFonts w:ascii="Times New Roman" w:hAnsi="Times New Roman"/>
          <w:sz w:val="24"/>
          <w:szCs w:val="24"/>
        </w:rPr>
        <w:t>иные обязательства в соответствии с Правилами доверительного управления Фондом.</w:t>
      </w:r>
    </w:p>
    <w:p w14:paraId="2607DD91" w14:textId="77777777" w:rsidR="000C1E0E" w:rsidRDefault="000C1E0E" w:rsidP="000C1E0E">
      <w:pPr>
        <w:widowControl w:val="0"/>
        <w:numPr>
          <w:ilvl w:val="1"/>
          <w:numId w:val="4"/>
        </w:numPr>
        <w:tabs>
          <w:tab w:val="left" w:pos="426"/>
        </w:tabs>
        <w:spacing w:before="60" w:after="100" w:line="240" w:lineRule="auto"/>
        <w:ind w:left="437" w:hanging="437"/>
        <w:outlineLvl w:val="0"/>
        <w:rPr>
          <w:rFonts w:ascii="Times New Roman" w:hAnsi="Times New Roman"/>
          <w:sz w:val="24"/>
          <w:szCs w:val="24"/>
        </w:rPr>
      </w:pPr>
      <w:r>
        <w:rPr>
          <w:sz w:val="24"/>
          <w:szCs w:val="24"/>
        </w:rPr>
        <w:t>Признание и прекращение признания покупки или продажи финансовых активов осуществляется с использованием учета по дате расчетов по сделке.</w:t>
      </w:r>
      <w:r>
        <w:t xml:space="preserve"> </w:t>
      </w:r>
    </w:p>
    <w:p w14:paraId="16CBC1DE" w14:textId="77777777" w:rsidR="000C1E0E" w:rsidRDefault="000C1E0E" w:rsidP="000C1E0E">
      <w:pPr>
        <w:widowControl w:val="0"/>
        <w:numPr>
          <w:ilvl w:val="1"/>
          <w:numId w:val="4"/>
        </w:numPr>
        <w:tabs>
          <w:tab w:val="left" w:pos="426"/>
        </w:tabs>
        <w:spacing w:before="60" w:after="100" w:line="240" w:lineRule="auto"/>
        <w:ind w:left="437" w:hanging="437"/>
        <w:outlineLvl w:val="0"/>
        <w:rPr>
          <w:rFonts w:ascii="Times New Roman" w:hAnsi="Times New Roman"/>
          <w:sz w:val="24"/>
          <w:szCs w:val="24"/>
        </w:rPr>
      </w:pPr>
      <w:r>
        <w:rPr>
          <w:rFonts w:ascii="Times New Roman" w:hAnsi="Times New Roman"/>
          <w:sz w:val="24"/>
          <w:szCs w:val="24"/>
        </w:rPr>
        <w:t>Признание (прекращение признания) на дату расчетов предусматривает признание актива в день перехода права собственности на актив к Фонду или от Фонда контрагенту;</w:t>
      </w:r>
    </w:p>
    <w:p w14:paraId="21D93259" w14:textId="77777777" w:rsidR="000C1E0E" w:rsidRDefault="000C1E0E" w:rsidP="000C1E0E">
      <w:pPr>
        <w:widowControl w:val="0"/>
        <w:numPr>
          <w:ilvl w:val="1"/>
          <w:numId w:val="4"/>
        </w:numPr>
        <w:tabs>
          <w:tab w:val="left" w:pos="426"/>
        </w:tabs>
        <w:spacing w:before="60" w:after="100" w:line="240" w:lineRule="auto"/>
        <w:ind w:left="437" w:hanging="437"/>
        <w:outlineLvl w:val="0"/>
        <w:rPr>
          <w:rFonts w:ascii="Times New Roman" w:hAnsi="Times New Roman"/>
          <w:sz w:val="24"/>
          <w:szCs w:val="24"/>
        </w:rPr>
      </w:pPr>
      <w:r>
        <w:rPr>
          <w:rFonts w:ascii="Times New Roman" w:hAnsi="Times New Roman"/>
          <w:sz w:val="24"/>
          <w:szCs w:val="24"/>
        </w:rPr>
        <w:t>Прекращение признания актива и признание прибыли или убытка от выбытия на дату перехода права собственности на актив от Фонда третьему лицу.</w:t>
      </w:r>
    </w:p>
    <w:p w14:paraId="246D4BDD" w14:textId="77777777" w:rsidR="000C1E0E" w:rsidRDefault="000C1E0E" w:rsidP="000C1E0E">
      <w:pPr>
        <w:widowControl w:val="0"/>
        <w:numPr>
          <w:ilvl w:val="1"/>
          <w:numId w:val="4"/>
        </w:numPr>
        <w:tabs>
          <w:tab w:val="left" w:pos="426"/>
        </w:tabs>
        <w:spacing w:before="60" w:after="100" w:line="240" w:lineRule="auto"/>
        <w:outlineLvl w:val="0"/>
        <w:rPr>
          <w:rFonts w:ascii="Times New Roman" w:hAnsi="Times New Roman"/>
          <w:sz w:val="24"/>
          <w:szCs w:val="24"/>
        </w:rPr>
      </w:pPr>
      <w:r>
        <w:rPr>
          <w:rFonts w:ascii="Times New Roman" w:hAnsi="Times New Roman"/>
          <w:b/>
          <w:sz w:val="24"/>
          <w:szCs w:val="24"/>
        </w:rPr>
        <w:t>Признание (прекращение признания) денежных средств осуществляется в следующем порядке</w:t>
      </w:r>
      <w:r>
        <w:rPr>
          <w:rFonts w:ascii="Times New Roman" w:hAnsi="Times New Roman"/>
          <w:sz w:val="24"/>
          <w:szCs w:val="24"/>
        </w:rPr>
        <w:t>:</w:t>
      </w:r>
    </w:p>
    <w:p w14:paraId="1004145C" w14:textId="77777777" w:rsidR="000C1E0E" w:rsidRDefault="000C1E0E" w:rsidP="000C1E0E">
      <w:pPr>
        <w:widowControl w:val="0"/>
        <w:numPr>
          <w:ilvl w:val="2"/>
          <w:numId w:val="4"/>
        </w:numPr>
        <w:tabs>
          <w:tab w:val="left" w:pos="426"/>
        </w:tabs>
        <w:spacing w:before="60" w:after="100" w:line="240" w:lineRule="auto"/>
        <w:outlineLvl w:val="0"/>
        <w:rPr>
          <w:rFonts w:ascii="Times New Roman" w:hAnsi="Times New Roman"/>
          <w:sz w:val="24"/>
          <w:szCs w:val="24"/>
        </w:rPr>
      </w:pPr>
      <w:r>
        <w:rPr>
          <w:rFonts w:ascii="Times New Roman" w:hAnsi="Times New Roman"/>
          <w:sz w:val="24"/>
          <w:szCs w:val="24"/>
        </w:rPr>
        <w:t>Денежные средства, в том числе иностранная валюта, на счетах и во вкладах в кредитных организациях признаются на дату:</w:t>
      </w:r>
    </w:p>
    <w:p w14:paraId="078DD44F" w14:textId="77777777" w:rsidR="000C1E0E" w:rsidRDefault="000C1E0E" w:rsidP="000C1E0E">
      <w:pPr>
        <w:widowControl w:val="0"/>
        <w:tabs>
          <w:tab w:val="left" w:pos="426"/>
        </w:tabs>
        <w:spacing w:before="60" w:after="100" w:line="240" w:lineRule="auto"/>
        <w:ind w:left="720"/>
        <w:outlineLvl w:val="0"/>
        <w:rPr>
          <w:rFonts w:ascii="Times New Roman" w:hAnsi="Times New Roman"/>
          <w:sz w:val="24"/>
          <w:szCs w:val="24"/>
        </w:rPr>
      </w:pPr>
      <w:r>
        <w:rPr>
          <w:rFonts w:ascii="Times New Roman" w:hAnsi="Times New Roman"/>
          <w:sz w:val="24"/>
          <w:szCs w:val="24"/>
        </w:rPr>
        <w:t>- фактического поступления на счета Фонда (в т.ч. расчетные, транзитные, валютные, депозитные), открытые Управляющей компанией для учета имущества Фонда в кредитных организациях,</w:t>
      </w:r>
      <w:r>
        <w:rPr>
          <w:rFonts w:ascii="Times New Roman" w:eastAsia="Batang" w:hAnsi="Times New Roman"/>
          <w:sz w:val="24"/>
          <w:szCs w:val="24"/>
        </w:rPr>
        <w:t xml:space="preserve"> </w:t>
      </w:r>
      <w:r>
        <w:rPr>
          <w:rFonts w:ascii="Times New Roman" w:hAnsi="Times New Roman"/>
          <w:sz w:val="24"/>
          <w:szCs w:val="24"/>
        </w:rPr>
        <w:t>на основании выписки с указанного счета;</w:t>
      </w:r>
    </w:p>
    <w:p w14:paraId="671687BB" w14:textId="77777777" w:rsidR="000C1E0E" w:rsidRDefault="000C1E0E" w:rsidP="000C1E0E">
      <w:pPr>
        <w:widowControl w:val="0"/>
        <w:tabs>
          <w:tab w:val="left" w:pos="426"/>
        </w:tabs>
        <w:spacing w:before="60" w:after="100" w:line="240" w:lineRule="auto"/>
        <w:ind w:left="720"/>
        <w:outlineLvl w:val="0"/>
        <w:rPr>
          <w:rFonts w:ascii="Times New Roman" w:hAnsi="Times New Roman"/>
          <w:sz w:val="24"/>
          <w:szCs w:val="24"/>
        </w:rPr>
      </w:pPr>
      <w:r>
        <w:rPr>
          <w:rFonts w:ascii="Times New Roman" w:hAnsi="Times New Roman"/>
          <w:sz w:val="24"/>
          <w:szCs w:val="24"/>
        </w:rPr>
        <w:t>- дату переуступки права требования о выплате вклада и начисленных процентах на основании договора;</w:t>
      </w:r>
    </w:p>
    <w:p w14:paraId="6661F124" w14:textId="77777777" w:rsidR="000C1E0E" w:rsidRDefault="000C1E0E" w:rsidP="000C1E0E">
      <w:pPr>
        <w:widowControl w:val="0"/>
        <w:numPr>
          <w:ilvl w:val="2"/>
          <w:numId w:val="4"/>
        </w:numPr>
        <w:tabs>
          <w:tab w:val="left" w:pos="426"/>
        </w:tabs>
        <w:spacing w:before="60" w:after="100" w:line="240" w:lineRule="auto"/>
        <w:outlineLvl w:val="0"/>
        <w:rPr>
          <w:rFonts w:ascii="Times New Roman" w:hAnsi="Times New Roman"/>
          <w:sz w:val="24"/>
          <w:szCs w:val="24"/>
        </w:rPr>
      </w:pPr>
      <w:r>
        <w:rPr>
          <w:rFonts w:ascii="Times New Roman" w:hAnsi="Times New Roman"/>
          <w:sz w:val="24"/>
          <w:szCs w:val="24"/>
        </w:rPr>
        <w:t xml:space="preserve">Датой прекращения признания денежных средств на счетах в кредитных организациях является: </w:t>
      </w:r>
    </w:p>
    <w:p w14:paraId="566CD49C" w14:textId="77777777" w:rsidR="000C1E0E" w:rsidRDefault="000C1E0E" w:rsidP="000C1E0E">
      <w:pPr>
        <w:widowControl w:val="0"/>
        <w:tabs>
          <w:tab w:val="left" w:pos="426"/>
        </w:tabs>
        <w:spacing w:before="60" w:after="100" w:line="240" w:lineRule="auto"/>
        <w:ind w:left="720"/>
        <w:outlineLvl w:val="0"/>
        <w:rPr>
          <w:rFonts w:ascii="Times New Roman" w:hAnsi="Times New Roman"/>
          <w:sz w:val="24"/>
          <w:szCs w:val="24"/>
        </w:rPr>
      </w:pPr>
      <w:r>
        <w:rPr>
          <w:rFonts w:ascii="Times New Roman" w:hAnsi="Times New Roman"/>
          <w:sz w:val="24"/>
          <w:szCs w:val="24"/>
        </w:rPr>
        <w:t xml:space="preserve">- дата списания (перечисления) денежных средств со счета в кредитной организации (денежные средства, списанные со счета в кредитной организации в целях передачи профессиональному участнику рынка ценных бумаг или зачисления на другой счет Фонда в кредитной организации, в отношении которых на дату оценки не получен документ, подтверждающий поступление денежных средств, признаются в качестве дебиторской задолженности);                                                             </w:t>
      </w:r>
    </w:p>
    <w:p w14:paraId="2825390B" w14:textId="77777777" w:rsidR="000C1E0E" w:rsidRDefault="000C1E0E" w:rsidP="000C1E0E">
      <w:pPr>
        <w:widowControl w:val="0"/>
        <w:tabs>
          <w:tab w:val="left" w:pos="426"/>
        </w:tabs>
        <w:spacing w:before="60" w:after="100" w:line="240" w:lineRule="auto"/>
        <w:ind w:left="720"/>
        <w:outlineLvl w:val="0"/>
        <w:rPr>
          <w:rFonts w:ascii="Times New Roman" w:hAnsi="Times New Roman"/>
          <w:sz w:val="24"/>
          <w:szCs w:val="24"/>
        </w:rPr>
      </w:pPr>
      <w:r>
        <w:rPr>
          <w:rFonts w:ascii="Times New Roman" w:hAnsi="Times New Roman"/>
          <w:sz w:val="24"/>
          <w:szCs w:val="24"/>
        </w:rPr>
        <w:t>- дата решения Банка России об отзыве лицензии кредитной организации (денежные средства признаются в качестве дебиторской задолженности);</w:t>
      </w:r>
      <w:r>
        <w:rPr>
          <w:rFonts w:ascii="Times New Roman" w:eastAsia="Batang" w:hAnsi="Times New Roman"/>
          <w:sz w:val="24"/>
          <w:szCs w:val="24"/>
        </w:rPr>
        <w:t xml:space="preserve"> </w:t>
      </w:r>
    </w:p>
    <w:p w14:paraId="370A22B4" w14:textId="77777777" w:rsidR="000C1E0E" w:rsidRDefault="000C1E0E" w:rsidP="000C1E0E">
      <w:pPr>
        <w:widowControl w:val="0"/>
        <w:tabs>
          <w:tab w:val="left" w:pos="426"/>
        </w:tabs>
        <w:spacing w:before="60" w:after="100" w:line="240" w:lineRule="auto"/>
        <w:ind w:left="720"/>
        <w:outlineLvl w:val="0"/>
        <w:rPr>
          <w:rFonts w:ascii="Times New Roman" w:hAnsi="Times New Roman"/>
          <w:sz w:val="24"/>
          <w:szCs w:val="24"/>
        </w:rPr>
      </w:pPr>
      <w:r>
        <w:rPr>
          <w:rFonts w:ascii="Times New Roman" w:hAnsi="Times New Roman"/>
          <w:sz w:val="24"/>
          <w:szCs w:val="24"/>
        </w:rPr>
        <w:lastRenderedPageBreak/>
        <w:t>- дата ликвидации банка согласно информации, раскрытой в официальном доступном источнике (в том числе записи в ЕГРЮЛ о ликвидации банка);</w:t>
      </w:r>
    </w:p>
    <w:p w14:paraId="1AE226B7" w14:textId="77777777" w:rsidR="000C1E0E" w:rsidRDefault="000C1E0E" w:rsidP="000C1E0E">
      <w:pPr>
        <w:pStyle w:val="12"/>
        <w:tabs>
          <w:tab w:val="left" w:pos="993"/>
        </w:tabs>
        <w:rPr>
          <w:szCs w:val="24"/>
        </w:rPr>
      </w:pPr>
      <w:r>
        <w:rPr>
          <w:szCs w:val="24"/>
        </w:rPr>
        <w:t>- дата фактической переуступки права требования о выплате вклада и начисленных процентах на основании договора.</w:t>
      </w:r>
    </w:p>
    <w:p w14:paraId="70F3ED5B" w14:textId="77777777" w:rsidR="000C1E0E" w:rsidRDefault="000C1E0E" w:rsidP="000C1E0E">
      <w:pPr>
        <w:widowControl w:val="0"/>
        <w:numPr>
          <w:ilvl w:val="1"/>
          <w:numId w:val="4"/>
        </w:numPr>
        <w:tabs>
          <w:tab w:val="left" w:pos="426"/>
        </w:tabs>
        <w:spacing w:before="60" w:after="100" w:line="240" w:lineRule="auto"/>
        <w:outlineLvl w:val="0"/>
        <w:rPr>
          <w:rFonts w:ascii="Times New Roman" w:hAnsi="Times New Roman"/>
          <w:sz w:val="24"/>
          <w:szCs w:val="24"/>
        </w:rPr>
      </w:pPr>
      <w:r>
        <w:rPr>
          <w:rFonts w:ascii="Times New Roman" w:hAnsi="Times New Roman"/>
          <w:b/>
          <w:sz w:val="24"/>
          <w:szCs w:val="24"/>
        </w:rPr>
        <w:t>Признание (прекращение признания) требования к кредитной организации выплатить денежный эквивалент драгоценных металлов осуществляется в следующем порядке</w:t>
      </w:r>
      <w:r>
        <w:rPr>
          <w:rFonts w:ascii="Times New Roman" w:hAnsi="Times New Roman"/>
          <w:sz w:val="24"/>
          <w:szCs w:val="24"/>
        </w:rPr>
        <w:t>:</w:t>
      </w:r>
    </w:p>
    <w:p w14:paraId="58E5A2B6" w14:textId="77777777" w:rsidR="000C1E0E" w:rsidRDefault="000C1E0E" w:rsidP="000C1E0E">
      <w:pPr>
        <w:widowControl w:val="0"/>
        <w:numPr>
          <w:ilvl w:val="2"/>
          <w:numId w:val="4"/>
        </w:numPr>
        <w:tabs>
          <w:tab w:val="left" w:pos="426"/>
        </w:tabs>
        <w:spacing w:before="60" w:after="100" w:line="240" w:lineRule="auto"/>
        <w:outlineLvl w:val="0"/>
        <w:rPr>
          <w:rFonts w:ascii="Times New Roman" w:hAnsi="Times New Roman"/>
          <w:sz w:val="24"/>
          <w:szCs w:val="24"/>
        </w:rPr>
      </w:pPr>
      <w:r>
        <w:rPr>
          <w:rFonts w:ascii="Times New Roman" w:hAnsi="Times New Roman"/>
          <w:sz w:val="24"/>
          <w:szCs w:val="24"/>
        </w:rPr>
        <w:t xml:space="preserve">Требования к кредитной организации выплатить денежный эквивалент драгоценных металлов признаются по дате перехода права собственности согласно выписке со счета кредитной организации о зачислении на металлический счет драгоценных металлов на основании договора. </w:t>
      </w:r>
    </w:p>
    <w:p w14:paraId="7C9FF41C" w14:textId="77777777" w:rsidR="000C1E0E" w:rsidRDefault="000C1E0E" w:rsidP="000C1E0E">
      <w:pPr>
        <w:widowControl w:val="0"/>
        <w:numPr>
          <w:ilvl w:val="2"/>
          <w:numId w:val="4"/>
        </w:numPr>
        <w:tabs>
          <w:tab w:val="left" w:pos="426"/>
        </w:tabs>
        <w:spacing w:before="60" w:after="100" w:line="240" w:lineRule="auto"/>
        <w:outlineLvl w:val="0"/>
        <w:rPr>
          <w:rFonts w:ascii="Times New Roman" w:hAnsi="Times New Roman"/>
          <w:sz w:val="24"/>
          <w:szCs w:val="24"/>
        </w:rPr>
      </w:pPr>
      <w:r>
        <w:rPr>
          <w:rFonts w:ascii="Times New Roman" w:hAnsi="Times New Roman"/>
          <w:sz w:val="24"/>
          <w:szCs w:val="24"/>
        </w:rPr>
        <w:t xml:space="preserve">Датой прекращения признания требования к кредитной организации выплатить денежный эквивалент драгоценных металлов является: </w:t>
      </w:r>
    </w:p>
    <w:p w14:paraId="1F64C7C4" w14:textId="77777777" w:rsidR="000C1E0E" w:rsidRDefault="000C1E0E" w:rsidP="000C1E0E">
      <w:pPr>
        <w:widowControl w:val="0"/>
        <w:tabs>
          <w:tab w:val="left" w:pos="426"/>
        </w:tabs>
        <w:spacing w:before="60" w:after="100" w:line="240" w:lineRule="auto"/>
        <w:ind w:left="720"/>
        <w:outlineLvl w:val="0"/>
        <w:rPr>
          <w:rFonts w:ascii="Times New Roman" w:hAnsi="Times New Roman"/>
          <w:sz w:val="24"/>
          <w:szCs w:val="24"/>
        </w:rPr>
      </w:pPr>
      <w:r>
        <w:rPr>
          <w:rFonts w:ascii="Times New Roman" w:hAnsi="Times New Roman"/>
          <w:sz w:val="24"/>
          <w:szCs w:val="24"/>
        </w:rPr>
        <w:t>-дата списания с металлического счета драгоценных металлов в соответствии с условиями договора;</w:t>
      </w:r>
    </w:p>
    <w:p w14:paraId="78506BC3" w14:textId="77777777" w:rsidR="000C1E0E" w:rsidRDefault="000C1E0E" w:rsidP="000C1E0E">
      <w:pPr>
        <w:widowControl w:val="0"/>
        <w:tabs>
          <w:tab w:val="left" w:pos="426"/>
        </w:tabs>
        <w:spacing w:before="60" w:after="100" w:line="240" w:lineRule="auto"/>
        <w:ind w:left="720"/>
        <w:outlineLvl w:val="0"/>
        <w:rPr>
          <w:rFonts w:ascii="Times New Roman" w:hAnsi="Times New Roman"/>
          <w:sz w:val="24"/>
          <w:szCs w:val="24"/>
        </w:rPr>
      </w:pPr>
      <w:r>
        <w:rPr>
          <w:rFonts w:ascii="Times New Roman" w:hAnsi="Times New Roman"/>
          <w:sz w:val="24"/>
          <w:szCs w:val="24"/>
        </w:rPr>
        <w:t>-дата решения Банка России об отзыве лицензии банка (денежный эквивалент драгоценных металлов переходит в статус прочей дебиторской задолженности);</w:t>
      </w:r>
    </w:p>
    <w:p w14:paraId="40431592" w14:textId="77777777" w:rsidR="000C1E0E" w:rsidRDefault="000C1E0E" w:rsidP="000C1E0E">
      <w:pPr>
        <w:widowControl w:val="0"/>
        <w:tabs>
          <w:tab w:val="left" w:pos="426"/>
        </w:tabs>
        <w:spacing w:before="60" w:after="100" w:line="240" w:lineRule="auto"/>
        <w:ind w:left="720"/>
        <w:outlineLvl w:val="0"/>
        <w:rPr>
          <w:rFonts w:ascii="Times New Roman" w:hAnsi="Times New Roman"/>
          <w:sz w:val="24"/>
          <w:szCs w:val="24"/>
        </w:rPr>
      </w:pPr>
      <w:r>
        <w:rPr>
          <w:rFonts w:ascii="Times New Roman" w:hAnsi="Times New Roman"/>
          <w:sz w:val="24"/>
          <w:szCs w:val="24"/>
        </w:rPr>
        <w:t>-дата ликвидации кредитной организации, в которой открыт металлический счет, информация о которой раскрыта в официальном доступном источнике</w:t>
      </w:r>
      <w:r>
        <w:rPr>
          <w:rFonts w:ascii="Times New Roman" w:eastAsia="Batang" w:hAnsi="Times New Roman"/>
          <w:sz w:val="24"/>
          <w:szCs w:val="24"/>
        </w:rPr>
        <w:t>.</w:t>
      </w:r>
    </w:p>
    <w:p w14:paraId="689F53EF" w14:textId="77777777" w:rsidR="000C1E0E" w:rsidRDefault="000C1E0E" w:rsidP="000C1E0E">
      <w:pPr>
        <w:widowControl w:val="0"/>
        <w:numPr>
          <w:ilvl w:val="1"/>
          <w:numId w:val="4"/>
        </w:numPr>
        <w:tabs>
          <w:tab w:val="left" w:pos="426"/>
        </w:tabs>
        <w:spacing w:before="60" w:after="100" w:line="240" w:lineRule="auto"/>
        <w:outlineLvl w:val="0"/>
        <w:rPr>
          <w:rFonts w:ascii="Times New Roman" w:hAnsi="Times New Roman"/>
          <w:sz w:val="24"/>
          <w:szCs w:val="24"/>
        </w:rPr>
      </w:pPr>
      <w:r>
        <w:rPr>
          <w:rFonts w:ascii="Times New Roman" w:hAnsi="Times New Roman"/>
          <w:b/>
          <w:sz w:val="24"/>
          <w:szCs w:val="24"/>
        </w:rPr>
        <w:t>Признание (прекращение признания) дебиторской задолженности осуществляется в следующем порядке</w:t>
      </w:r>
      <w:r>
        <w:rPr>
          <w:rFonts w:ascii="Times New Roman" w:hAnsi="Times New Roman"/>
          <w:sz w:val="24"/>
          <w:szCs w:val="24"/>
        </w:rPr>
        <w:t>:</w:t>
      </w:r>
    </w:p>
    <w:p w14:paraId="4363E61E" w14:textId="77777777" w:rsidR="000C1E0E" w:rsidRDefault="000C1E0E" w:rsidP="000C1E0E">
      <w:pPr>
        <w:widowControl w:val="0"/>
        <w:numPr>
          <w:ilvl w:val="2"/>
          <w:numId w:val="4"/>
        </w:numPr>
        <w:tabs>
          <w:tab w:val="left" w:pos="426"/>
        </w:tabs>
        <w:spacing w:before="60" w:after="100" w:line="240" w:lineRule="auto"/>
        <w:outlineLvl w:val="0"/>
        <w:rPr>
          <w:rFonts w:ascii="Times New Roman" w:hAnsi="Times New Roman"/>
          <w:sz w:val="24"/>
          <w:szCs w:val="24"/>
        </w:rPr>
      </w:pPr>
      <w:r>
        <w:rPr>
          <w:rFonts w:ascii="Times New Roman" w:hAnsi="Times New Roman"/>
          <w:sz w:val="24"/>
          <w:szCs w:val="24"/>
        </w:rPr>
        <w:t>Дебиторская задолженность, возникшая в результате осуществления сделок с активами Фонда, признается как актив с момента передачи активов (денежных средств) лицу, в отношении которого возникает дебиторская задолженность.</w:t>
      </w:r>
    </w:p>
    <w:p w14:paraId="6A7FF51F" w14:textId="77777777" w:rsidR="000C1E0E" w:rsidRDefault="000C1E0E" w:rsidP="000C1E0E">
      <w:pPr>
        <w:widowControl w:val="0"/>
        <w:tabs>
          <w:tab w:val="left" w:pos="426"/>
        </w:tabs>
        <w:spacing w:before="60" w:after="100" w:line="240" w:lineRule="auto"/>
        <w:ind w:left="720"/>
        <w:outlineLvl w:val="0"/>
        <w:rPr>
          <w:rFonts w:ascii="Times New Roman" w:hAnsi="Times New Roman"/>
          <w:sz w:val="24"/>
          <w:szCs w:val="24"/>
        </w:rPr>
      </w:pPr>
      <w:r>
        <w:rPr>
          <w:rFonts w:ascii="Times New Roman" w:hAnsi="Times New Roman"/>
          <w:sz w:val="24"/>
          <w:szCs w:val="24"/>
        </w:rPr>
        <w:t>Датой прекращения такой дебиторской задолженности является наиболее ранняя из дат:</w:t>
      </w:r>
    </w:p>
    <w:p w14:paraId="49EB9980" w14:textId="77777777" w:rsidR="000C1E0E" w:rsidRDefault="000C1E0E" w:rsidP="000C1E0E">
      <w:pPr>
        <w:widowControl w:val="0"/>
        <w:tabs>
          <w:tab w:val="left" w:pos="426"/>
        </w:tabs>
        <w:spacing w:before="60" w:after="100" w:line="240" w:lineRule="auto"/>
        <w:ind w:left="720"/>
        <w:outlineLvl w:val="0"/>
        <w:rPr>
          <w:rFonts w:ascii="Times New Roman" w:hAnsi="Times New Roman"/>
          <w:sz w:val="24"/>
          <w:szCs w:val="24"/>
        </w:rPr>
      </w:pPr>
      <w:r>
        <w:rPr>
          <w:rFonts w:ascii="Times New Roman" w:hAnsi="Times New Roman"/>
          <w:sz w:val="24"/>
          <w:szCs w:val="24"/>
        </w:rPr>
        <w:t>- дата исполнения обязательств перед Фондом;</w:t>
      </w:r>
    </w:p>
    <w:p w14:paraId="6E6CAB46" w14:textId="77777777" w:rsidR="000C1E0E" w:rsidRDefault="000C1E0E" w:rsidP="000C1E0E">
      <w:pPr>
        <w:widowControl w:val="0"/>
        <w:tabs>
          <w:tab w:val="left" w:pos="426"/>
        </w:tabs>
        <w:spacing w:before="60" w:after="100" w:line="240" w:lineRule="auto"/>
        <w:ind w:left="720"/>
        <w:outlineLvl w:val="0"/>
        <w:rPr>
          <w:rFonts w:ascii="Times New Roman" w:hAnsi="Times New Roman"/>
          <w:sz w:val="24"/>
          <w:szCs w:val="24"/>
        </w:rPr>
      </w:pPr>
      <w:r>
        <w:rPr>
          <w:rFonts w:ascii="Times New Roman" w:hAnsi="Times New Roman"/>
          <w:sz w:val="24"/>
          <w:szCs w:val="24"/>
        </w:rPr>
        <w:t>- дата ликвидации лица, в отношении которого в учете Фонда числится дебиторская задолженность, согласно выписке из ЕГРЮЛ.</w:t>
      </w:r>
    </w:p>
    <w:p w14:paraId="59F38C39" w14:textId="77777777" w:rsidR="000C1E0E" w:rsidRDefault="000C1E0E" w:rsidP="000C1E0E">
      <w:pPr>
        <w:widowControl w:val="0"/>
        <w:numPr>
          <w:ilvl w:val="2"/>
          <w:numId w:val="4"/>
        </w:numPr>
        <w:tabs>
          <w:tab w:val="left" w:pos="426"/>
        </w:tabs>
        <w:spacing w:before="60" w:after="100" w:line="240" w:lineRule="auto"/>
        <w:outlineLvl w:val="0"/>
        <w:rPr>
          <w:rFonts w:ascii="Times New Roman" w:hAnsi="Times New Roman"/>
          <w:sz w:val="24"/>
          <w:szCs w:val="24"/>
        </w:rPr>
      </w:pPr>
      <w:r>
        <w:rPr>
          <w:rFonts w:ascii="Times New Roman" w:hAnsi="Times New Roman"/>
          <w:sz w:val="24"/>
          <w:szCs w:val="24"/>
        </w:rPr>
        <w:t>Дебиторская задолженность, возникшая в результате расчетов по прочим операциям, а именно:</w:t>
      </w:r>
    </w:p>
    <w:p w14:paraId="6F5740D8" w14:textId="77777777" w:rsidR="000C1E0E" w:rsidRDefault="000C1E0E" w:rsidP="000C1E0E">
      <w:pPr>
        <w:widowControl w:val="0"/>
        <w:tabs>
          <w:tab w:val="left" w:pos="426"/>
        </w:tabs>
        <w:spacing w:before="60" w:after="100" w:line="240" w:lineRule="auto"/>
        <w:ind w:left="720"/>
        <w:outlineLvl w:val="0"/>
        <w:rPr>
          <w:rFonts w:ascii="Times New Roman" w:hAnsi="Times New Roman"/>
          <w:sz w:val="24"/>
          <w:szCs w:val="24"/>
        </w:rPr>
      </w:pPr>
      <w:r>
        <w:rPr>
          <w:rFonts w:ascii="Times New Roman" w:hAnsi="Times New Roman"/>
          <w:sz w:val="24"/>
          <w:szCs w:val="24"/>
        </w:rPr>
        <w:t>- дебиторская задолженность Управляющей компании перед Фондом;</w:t>
      </w:r>
    </w:p>
    <w:p w14:paraId="015F8C05" w14:textId="77777777" w:rsidR="000C1E0E" w:rsidRDefault="000C1E0E" w:rsidP="000C1E0E">
      <w:pPr>
        <w:widowControl w:val="0"/>
        <w:tabs>
          <w:tab w:val="left" w:pos="426"/>
        </w:tabs>
        <w:spacing w:before="60" w:after="100" w:line="240" w:lineRule="auto"/>
        <w:ind w:left="720"/>
        <w:outlineLvl w:val="0"/>
        <w:rPr>
          <w:rFonts w:ascii="Times New Roman" w:hAnsi="Times New Roman"/>
          <w:sz w:val="24"/>
          <w:szCs w:val="24"/>
        </w:rPr>
      </w:pPr>
      <w:r>
        <w:rPr>
          <w:rFonts w:ascii="Times New Roman" w:hAnsi="Times New Roman"/>
          <w:sz w:val="24"/>
          <w:szCs w:val="24"/>
        </w:rPr>
        <w:t>- авансы, выданные за счет имущества Фонда;</w:t>
      </w:r>
    </w:p>
    <w:p w14:paraId="498B3E5C" w14:textId="15BE26D7" w:rsidR="000C1E0E" w:rsidRDefault="000C1E0E" w:rsidP="000C1E0E">
      <w:pPr>
        <w:widowControl w:val="0"/>
        <w:tabs>
          <w:tab w:val="left" w:pos="426"/>
        </w:tabs>
        <w:spacing w:before="60" w:after="100" w:line="240" w:lineRule="auto"/>
        <w:ind w:left="720"/>
        <w:outlineLvl w:val="0"/>
        <w:rPr>
          <w:rFonts w:ascii="Times New Roman" w:hAnsi="Times New Roman"/>
          <w:sz w:val="24"/>
          <w:szCs w:val="24"/>
        </w:rPr>
      </w:pPr>
      <w:r>
        <w:rPr>
          <w:rFonts w:ascii="Times New Roman" w:hAnsi="Times New Roman"/>
          <w:sz w:val="24"/>
          <w:szCs w:val="24"/>
        </w:rPr>
        <w:t xml:space="preserve">- дебиторская задолженность, возникшая по договорам с аудиторской организацией, специализированным депозитарием, лицом, осуществляющим ведение реестра; </w:t>
      </w:r>
    </w:p>
    <w:p w14:paraId="7DE41F25" w14:textId="77777777" w:rsidR="000C1E0E" w:rsidRDefault="000C1E0E" w:rsidP="000C1E0E">
      <w:pPr>
        <w:widowControl w:val="0"/>
        <w:tabs>
          <w:tab w:val="left" w:pos="426"/>
        </w:tabs>
        <w:spacing w:before="60" w:after="100" w:line="240" w:lineRule="auto"/>
        <w:ind w:left="720"/>
        <w:outlineLvl w:val="0"/>
        <w:rPr>
          <w:rFonts w:ascii="Times New Roman" w:hAnsi="Times New Roman"/>
          <w:sz w:val="24"/>
          <w:szCs w:val="24"/>
        </w:rPr>
      </w:pPr>
      <w:r>
        <w:rPr>
          <w:rFonts w:ascii="Times New Roman" w:hAnsi="Times New Roman"/>
          <w:sz w:val="24"/>
          <w:szCs w:val="24"/>
        </w:rPr>
        <w:t>- дебиторская задолженность по налогам, сборам, пошлинам в бюджеты всех уровней;</w:t>
      </w:r>
    </w:p>
    <w:p w14:paraId="338BBDF0" w14:textId="77777777" w:rsidR="000C1E0E" w:rsidRDefault="000C1E0E" w:rsidP="000C1E0E">
      <w:pPr>
        <w:widowControl w:val="0"/>
        <w:tabs>
          <w:tab w:val="left" w:pos="426"/>
        </w:tabs>
        <w:spacing w:before="60" w:after="100" w:line="240" w:lineRule="auto"/>
        <w:ind w:left="720"/>
        <w:outlineLvl w:val="0"/>
        <w:rPr>
          <w:rFonts w:ascii="Times New Roman" w:hAnsi="Times New Roman"/>
          <w:sz w:val="24"/>
          <w:szCs w:val="24"/>
        </w:rPr>
      </w:pPr>
      <w:r>
        <w:rPr>
          <w:rFonts w:ascii="Times New Roman" w:hAnsi="Times New Roman"/>
          <w:sz w:val="24"/>
          <w:szCs w:val="24"/>
        </w:rPr>
        <w:t>-дебиторская задолженность по возмещению суммы налогов из бюджета Российской Федерации;</w:t>
      </w:r>
    </w:p>
    <w:p w14:paraId="13025E75" w14:textId="77777777" w:rsidR="000C1E0E" w:rsidRDefault="000C1E0E" w:rsidP="000C1E0E">
      <w:pPr>
        <w:widowControl w:val="0"/>
        <w:tabs>
          <w:tab w:val="left" w:pos="426"/>
        </w:tabs>
        <w:spacing w:before="60" w:after="100" w:line="240" w:lineRule="auto"/>
        <w:ind w:left="720"/>
        <w:outlineLvl w:val="0"/>
        <w:rPr>
          <w:rFonts w:ascii="Times New Roman" w:hAnsi="Times New Roman"/>
          <w:sz w:val="24"/>
          <w:szCs w:val="24"/>
        </w:rPr>
      </w:pPr>
      <w:r>
        <w:rPr>
          <w:rFonts w:ascii="Times New Roman" w:hAnsi="Times New Roman"/>
          <w:sz w:val="24"/>
          <w:szCs w:val="24"/>
        </w:rPr>
        <w:t xml:space="preserve">- прочая дебиторская задолженность </w:t>
      </w:r>
    </w:p>
    <w:p w14:paraId="5CEE5FCE" w14:textId="77777777" w:rsidR="000C1E0E" w:rsidRDefault="000C1E0E" w:rsidP="000C1E0E">
      <w:pPr>
        <w:widowControl w:val="0"/>
        <w:tabs>
          <w:tab w:val="left" w:pos="426"/>
        </w:tabs>
        <w:spacing w:before="60" w:after="100" w:line="240" w:lineRule="auto"/>
        <w:ind w:left="720"/>
        <w:outlineLvl w:val="0"/>
        <w:rPr>
          <w:rFonts w:ascii="Times New Roman" w:hAnsi="Times New Roman"/>
          <w:sz w:val="24"/>
          <w:szCs w:val="24"/>
        </w:rPr>
      </w:pPr>
      <w:r>
        <w:rPr>
          <w:rFonts w:ascii="Times New Roman" w:hAnsi="Times New Roman"/>
          <w:sz w:val="24"/>
          <w:szCs w:val="24"/>
        </w:rPr>
        <w:t xml:space="preserve">признается как актив с момента передачи денежных средств лицу, в отношении которого возникает дебиторская задолженность. </w:t>
      </w:r>
    </w:p>
    <w:p w14:paraId="3FDE4F9B" w14:textId="7040D957" w:rsidR="000C1E0E" w:rsidRDefault="000C1E0E" w:rsidP="000C1E0E">
      <w:pPr>
        <w:widowControl w:val="0"/>
        <w:tabs>
          <w:tab w:val="left" w:pos="426"/>
        </w:tabs>
        <w:spacing w:before="60" w:after="100" w:line="240" w:lineRule="auto"/>
        <w:ind w:left="720"/>
        <w:outlineLvl w:val="0"/>
        <w:rPr>
          <w:rFonts w:ascii="Times New Roman" w:hAnsi="Times New Roman"/>
          <w:sz w:val="24"/>
          <w:szCs w:val="24"/>
        </w:rPr>
      </w:pPr>
      <w:r>
        <w:rPr>
          <w:rFonts w:ascii="Times New Roman" w:hAnsi="Times New Roman"/>
          <w:sz w:val="24"/>
          <w:szCs w:val="24"/>
        </w:rPr>
        <w:t>Для дебиторской зад</w:t>
      </w:r>
      <w:r w:rsidR="00C375C8">
        <w:rPr>
          <w:rFonts w:ascii="Times New Roman" w:hAnsi="Times New Roman"/>
          <w:sz w:val="24"/>
          <w:szCs w:val="24"/>
        </w:rPr>
        <w:t xml:space="preserve">олженности по прочим операциям </w:t>
      </w:r>
      <w:r>
        <w:rPr>
          <w:rFonts w:ascii="Times New Roman" w:hAnsi="Times New Roman"/>
          <w:sz w:val="24"/>
          <w:szCs w:val="24"/>
        </w:rPr>
        <w:t>датой прекращения</w:t>
      </w:r>
      <w:r w:rsidR="00C375C8">
        <w:rPr>
          <w:rFonts w:ascii="Times New Roman" w:hAnsi="Times New Roman"/>
          <w:sz w:val="24"/>
          <w:szCs w:val="24"/>
        </w:rPr>
        <w:t xml:space="preserve"> </w:t>
      </w:r>
      <w:r>
        <w:rPr>
          <w:rFonts w:ascii="Times New Roman" w:hAnsi="Times New Roman"/>
          <w:sz w:val="24"/>
          <w:szCs w:val="24"/>
        </w:rPr>
        <w:lastRenderedPageBreak/>
        <w:t>признания  является наиболее ранняя из дат:</w:t>
      </w:r>
    </w:p>
    <w:p w14:paraId="4EA0CB1E" w14:textId="77777777" w:rsidR="000C1E0E" w:rsidRDefault="000C1E0E" w:rsidP="000C1E0E">
      <w:pPr>
        <w:widowControl w:val="0"/>
        <w:tabs>
          <w:tab w:val="left" w:pos="426"/>
        </w:tabs>
        <w:spacing w:before="60" w:after="100" w:line="240" w:lineRule="auto"/>
        <w:ind w:left="720"/>
        <w:outlineLvl w:val="0"/>
        <w:rPr>
          <w:rFonts w:ascii="Times New Roman" w:hAnsi="Times New Roman"/>
          <w:sz w:val="24"/>
          <w:szCs w:val="24"/>
        </w:rPr>
      </w:pPr>
      <w:r>
        <w:rPr>
          <w:rFonts w:ascii="Times New Roman" w:hAnsi="Times New Roman"/>
          <w:sz w:val="24"/>
          <w:szCs w:val="24"/>
        </w:rPr>
        <w:t>- дата исполнения обязательств перед Фондом;</w:t>
      </w:r>
    </w:p>
    <w:p w14:paraId="099D27A0" w14:textId="77777777" w:rsidR="000C1E0E" w:rsidRDefault="000C1E0E" w:rsidP="000C1E0E">
      <w:pPr>
        <w:widowControl w:val="0"/>
        <w:tabs>
          <w:tab w:val="left" w:pos="426"/>
        </w:tabs>
        <w:spacing w:before="60" w:after="100" w:line="240" w:lineRule="auto"/>
        <w:ind w:left="720"/>
        <w:outlineLvl w:val="0"/>
        <w:rPr>
          <w:rFonts w:ascii="Times New Roman" w:hAnsi="Times New Roman"/>
          <w:sz w:val="24"/>
          <w:szCs w:val="24"/>
        </w:rPr>
      </w:pPr>
      <w:r>
        <w:rPr>
          <w:rFonts w:ascii="Times New Roman" w:hAnsi="Times New Roman"/>
          <w:sz w:val="24"/>
          <w:szCs w:val="24"/>
        </w:rPr>
        <w:t>- дата ликвидации лица, в отношении которого в учете Фонда числится дебиторская задолженность, согласно выписке из ЕГРЮЛ;</w:t>
      </w:r>
    </w:p>
    <w:p w14:paraId="6D05E3EA" w14:textId="77777777" w:rsidR="000C1E0E" w:rsidRDefault="000C1E0E" w:rsidP="000C1E0E">
      <w:pPr>
        <w:widowControl w:val="0"/>
        <w:tabs>
          <w:tab w:val="left" w:pos="426"/>
        </w:tabs>
        <w:spacing w:before="60" w:after="100" w:line="240" w:lineRule="auto"/>
        <w:ind w:left="720"/>
        <w:outlineLvl w:val="0"/>
        <w:rPr>
          <w:rFonts w:ascii="Times New Roman" w:hAnsi="Times New Roman"/>
          <w:sz w:val="24"/>
          <w:szCs w:val="24"/>
        </w:rPr>
      </w:pPr>
      <w:r>
        <w:rPr>
          <w:rFonts w:ascii="Times New Roman" w:hAnsi="Times New Roman"/>
          <w:sz w:val="24"/>
          <w:szCs w:val="24"/>
        </w:rPr>
        <w:t>Датой прекращения обязательств для дебиторской задолженности по возмещению суммы налогов из бюджета Российской Федерации является дата исполнения обязательства перед Фондом в соответствии с законодательством Российской Федерации. Дебиторская задолженность по процентному (купонному) доходу признается с момента признания актива, условиями выпуска (договора о размещении) которого предусмотрен процентный (купонный) доход.</w:t>
      </w:r>
    </w:p>
    <w:p w14:paraId="16056A18" w14:textId="77777777" w:rsidR="000C1E0E" w:rsidRDefault="000C1E0E" w:rsidP="000C1E0E">
      <w:pPr>
        <w:widowControl w:val="0"/>
        <w:tabs>
          <w:tab w:val="left" w:pos="426"/>
        </w:tabs>
        <w:spacing w:before="60" w:after="100" w:line="240" w:lineRule="auto"/>
        <w:ind w:left="720"/>
        <w:outlineLvl w:val="0"/>
        <w:rPr>
          <w:rFonts w:ascii="Times New Roman" w:hAnsi="Times New Roman"/>
          <w:sz w:val="24"/>
          <w:szCs w:val="24"/>
        </w:rPr>
      </w:pPr>
      <w:r>
        <w:rPr>
          <w:rFonts w:ascii="Times New Roman" w:hAnsi="Times New Roman"/>
          <w:sz w:val="24"/>
          <w:szCs w:val="24"/>
        </w:rPr>
        <w:t>В случае, если проспектом ценных бумаг предусмотрен переменный купон, величина которого зависит от определенных показателей, и для ценной бумаги отсутствует активный рынок, то величина данного купона определяется в соответствии с Приложением №3 настоящих Правил.</w:t>
      </w:r>
    </w:p>
    <w:p w14:paraId="68C3C55A" w14:textId="77777777" w:rsidR="000C1E0E" w:rsidRDefault="000C1E0E" w:rsidP="000C1E0E">
      <w:pPr>
        <w:widowControl w:val="0"/>
        <w:tabs>
          <w:tab w:val="left" w:pos="426"/>
        </w:tabs>
        <w:spacing w:before="60" w:after="100" w:line="240" w:lineRule="auto"/>
        <w:ind w:left="720"/>
        <w:outlineLvl w:val="0"/>
        <w:rPr>
          <w:rFonts w:ascii="Times New Roman" w:hAnsi="Times New Roman"/>
          <w:sz w:val="24"/>
          <w:szCs w:val="24"/>
        </w:rPr>
      </w:pPr>
      <w:r>
        <w:rPr>
          <w:rFonts w:ascii="Times New Roman" w:hAnsi="Times New Roman"/>
          <w:sz w:val="24"/>
          <w:szCs w:val="24"/>
        </w:rPr>
        <w:t xml:space="preserve"> Датой прекращения признания дебиторской задолженности по процентному (купонному) доходу в качестве актива является:</w:t>
      </w:r>
    </w:p>
    <w:p w14:paraId="3976F519" w14:textId="77777777" w:rsidR="000C1E0E" w:rsidRDefault="000C1E0E" w:rsidP="000C1E0E">
      <w:pPr>
        <w:tabs>
          <w:tab w:val="left" w:pos="426"/>
        </w:tabs>
        <w:spacing w:before="60" w:line="240" w:lineRule="auto"/>
        <w:ind w:left="709"/>
        <w:outlineLvl w:val="0"/>
        <w:rPr>
          <w:rFonts w:ascii="Times New Roman" w:hAnsi="Times New Roman"/>
          <w:sz w:val="24"/>
          <w:szCs w:val="24"/>
        </w:rPr>
      </w:pPr>
      <w:r>
        <w:rPr>
          <w:rFonts w:ascii="Times New Roman" w:hAnsi="Times New Roman"/>
          <w:sz w:val="24"/>
          <w:szCs w:val="24"/>
        </w:rPr>
        <w:t>-дата зачисления суммы процентного (купонного) дохода на расчетный счет, подтвержденная банковской выпиской с расчетного счета Фонда или отчетом брокера Фонда;</w:t>
      </w:r>
    </w:p>
    <w:p w14:paraId="23A58D09" w14:textId="77777777" w:rsidR="000C1E0E" w:rsidRDefault="000C1E0E" w:rsidP="000C1E0E">
      <w:pPr>
        <w:tabs>
          <w:tab w:val="left" w:pos="426"/>
        </w:tabs>
        <w:spacing w:before="60" w:line="240" w:lineRule="auto"/>
        <w:ind w:left="709"/>
        <w:outlineLvl w:val="0"/>
        <w:rPr>
          <w:rFonts w:ascii="Times New Roman" w:hAnsi="Times New Roman"/>
          <w:sz w:val="24"/>
          <w:szCs w:val="24"/>
        </w:rPr>
      </w:pPr>
      <w:r>
        <w:rPr>
          <w:rFonts w:ascii="Times New Roman" w:hAnsi="Times New Roman"/>
          <w:sz w:val="24"/>
          <w:szCs w:val="24"/>
        </w:rPr>
        <w:t>-дата прекращения признания ценной бумаги в связи с ее реализацией;</w:t>
      </w:r>
    </w:p>
    <w:p w14:paraId="21205AA7" w14:textId="77777777" w:rsidR="000C1E0E" w:rsidRDefault="000C1E0E" w:rsidP="000C1E0E">
      <w:pPr>
        <w:pStyle w:val="12"/>
        <w:tabs>
          <w:tab w:val="left" w:pos="993"/>
        </w:tabs>
        <w:rPr>
          <w:rFonts w:eastAsia="Batang"/>
          <w:szCs w:val="24"/>
        </w:rPr>
      </w:pPr>
      <w:r>
        <w:rPr>
          <w:rFonts w:eastAsia="Batang"/>
          <w:szCs w:val="24"/>
        </w:rPr>
        <w:t>-дата ликвидации эмитента, согласно выписке из ЕГРЮЛ (или выписки из соответствующего уполномоченного органа иностранного государства).</w:t>
      </w:r>
    </w:p>
    <w:p w14:paraId="71427DF9" w14:textId="77777777" w:rsidR="000C1E0E" w:rsidRDefault="000C1E0E" w:rsidP="000C1E0E">
      <w:pPr>
        <w:widowControl w:val="0"/>
        <w:numPr>
          <w:ilvl w:val="2"/>
          <w:numId w:val="4"/>
        </w:numPr>
        <w:tabs>
          <w:tab w:val="left" w:pos="426"/>
        </w:tabs>
        <w:spacing w:before="60" w:after="100" w:line="240" w:lineRule="auto"/>
        <w:outlineLvl w:val="0"/>
        <w:rPr>
          <w:rFonts w:ascii="Times New Roman" w:hAnsi="Times New Roman"/>
          <w:sz w:val="24"/>
          <w:szCs w:val="24"/>
        </w:rPr>
      </w:pPr>
      <w:r>
        <w:rPr>
          <w:rFonts w:ascii="Times New Roman" w:hAnsi="Times New Roman"/>
          <w:sz w:val="24"/>
          <w:szCs w:val="24"/>
        </w:rPr>
        <w:t>Датой признания дебиторской задолженности по причитающимся к получению дивидендам по акциям, дохода по депозитарным распискам в отношении:</w:t>
      </w:r>
    </w:p>
    <w:p w14:paraId="1EE7BA56" w14:textId="77777777" w:rsidR="000C1E0E" w:rsidRDefault="000C1E0E" w:rsidP="000C1E0E">
      <w:pPr>
        <w:widowControl w:val="0"/>
        <w:tabs>
          <w:tab w:val="left" w:pos="426"/>
        </w:tabs>
        <w:spacing w:before="60" w:after="100" w:line="240" w:lineRule="auto"/>
        <w:ind w:left="720"/>
        <w:outlineLvl w:val="0"/>
        <w:rPr>
          <w:rFonts w:ascii="Times New Roman" w:hAnsi="Times New Roman"/>
          <w:sz w:val="24"/>
          <w:szCs w:val="24"/>
        </w:rPr>
      </w:pPr>
      <w:r>
        <w:rPr>
          <w:rFonts w:ascii="Times New Roman" w:hAnsi="Times New Roman"/>
          <w:sz w:val="24"/>
          <w:szCs w:val="24"/>
        </w:rPr>
        <w:t xml:space="preserve">- акций/представляемых акций российских эмитентов является дата фиксации реестра акционеров для выплаты дивидендов (дата установления прав акционеров на получение выплаты) на основании информации от НКО АО НРД или информации, размещенной на официальном информационном ресурсе эмитента;  </w:t>
      </w:r>
    </w:p>
    <w:p w14:paraId="3AE438E7" w14:textId="77777777" w:rsidR="000C1E0E" w:rsidRDefault="000C1E0E" w:rsidP="000C1E0E">
      <w:pPr>
        <w:widowControl w:val="0"/>
        <w:tabs>
          <w:tab w:val="left" w:pos="426"/>
        </w:tabs>
        <w:spacing w:before="60" w:after="100" w:line="240" w:lineRule="auto"/>
        <w:ind w:left="720"/>
        <w:outlineLvl w:val="0"/>
        <w:rPr>
          <w:rFonts w:ascii="Times New Roman" w:hAnsi="Times New Roman"/>
          <w:sz w:val="24"/>
          <w:szCs w:val="24"/>
        </w:rPr>
      </w:pPr>
      <w:r>
        <w:rPr>
          <w:rFonts w:ascii="Times New Roman" w:hAnsi="Times New Roman"/>
          <w:sz w:val="24"/>
          <w:szCs w:val="24"/>
        </w:rPr>
        <w:t xml:space="preserve">- акций/ представляемых акций иностранных эмитентов является </w:t>
      </w:r>
      <w:r>
        <w:rPr>
          <w:rFonts w:ascii="Times New Roman" w:eastAsia="Batang" w:hAnsi="Times New Roman"/>
          <w:sz w:val="24"/>
          <w:szCs w:val="24"/>
        </w:rPr>
        <w:t>в соответствии с информацией НКО АО НРД</w:t>
      </w:r>
      <w:r>
        <w:rPr>
          <w:rFonts w:ascii="Times New Roman" w:hAnsi="Times New Roman"/>
          <w:sz w:val="24"/>
          <w:szCs w:val="24"/>
        </w:rPr>
        <w:t xml:space="preserve"> дата, на которую определяются лица, имеющие право на получение дивидендов, или в соответствии с информационной системой "Блумберг"(Bloomberg), или других информационных источников - дата, после которой ценные бумаги начинают торговаться без учета объявленных дивидендов (DVD_EX_DT).</w:t>
      </w:r>
    </w:p>
    <w:p w14:paraId="6067D094" w14:textId="77777777" w:rsidR="000C1E0E" w:rsidRDefault="000C1E0E" w:rsidP="000C1E0E">
      <w:pPr>
        <w:widowControl w:val="0"/>
        <w:tabs>
          <w:tab w:val="left" w:pos="426"/>
        </w:tabs>
        <w:spacing w:before="60" w:after="100" w:line="240" w:lineRule="auto"/>
        <w:ind w:left="720"/>
        <w:outlineLvl w:val="0"/>
        <w:rPr>
          <w:rFonts w:ascii="Times New Roman" w:hAnsi="Times New Roman"/>
          <w:sz w:val="24"/>
          <w:szCs w:val="24"/>
        </w:rPr>
      </w:pPr>
      <w:r>
        <w:rPr>
          <w:rFonts w:ascii="Times New Roman" w:hAnsi="Times New Roman"/>
          <w:sz w:val="24"/>
          <w:szCs w:val="24"/>
        </w:rPr>
        <w:t>В качестве источника информации используются информационные ресурсы НКО АО НРД, международной информационной группы «Интерфакс», информационная система "Блумберг" (Bloomberg), НФА и др. Критерием выбора является качество предоставляемой информации и удобство доступа к данным.</w:t>
      </w:r>
    </w:p>
    <w:p w14:paraId="09B9B5BB" w14:textId="77777777" w:rsidR="000C1E0E" w:rsidRDefault="000C1E0E" w:rsidP="000C1E0E">
      <w:pPr>
        <w:spacing w:before="60" w:after="100" w:line="240" w:lineRule="auto"/>
        <w:ind w:left="708"/>
        <w:rPr>
          <w:rFonts w:ascii="Times New Roman" w:hAnsi="Times New Roman"/>
          <w:sz w:val="24"/>
          <w:szCs w:val="24"/>
        </w:rPr>
      </w:pPr>
      <w:r>
        <w:rPr>
          <w:rFonts w:ascii="Times New Roman" w:hAnsi="Times New Roman"/>
          <w:sz w:val="24"/>
          <w:szCs w:val="24"/>
        </w:rPr>
        <w:t xml:space="preserve">При отсутствии информации из выше указанных источников (в том числе размера причитающихся выплат) датой признания дебиторской задолженности будет являться дата зачисления денежных средств на расчетный счет Управляющей компании Д.У. ПИФ (в том числе на счет брокера ПИФ). </w:t>
      </w:r>
    </w:p>
    <w:p w14:paraId="347D72FE" w14:textId="77777777" w:rsidR="000C1E0E" w:rsidRDefault="000C1E0E" w:rsidP="000C1E0E">
      <w:pPr>
        <w:widowControl w:val="0"/>
        <w:numPr>
          <w:ilvl w:val="2"/>
          <w:numId w:val="4"/>
        </w:numPr>
        <w:tabs>
          <w:tab w:val="left" w:pos="426"/>
        </w:tabs>
        <w:spacing w:before="60" w:after="100" w:line="240" w:lineRule="auto"/>
        <w:outlineLvl w:val="0"/>
        <w:rPr>
          <w:rFonts w:ascii="Times New Roman" w:hAnsi="Times New Roman"/>
          <w:sz w:val="24"/>
          <w:szCs w:val="24"/>
        </w:rPr>
      </w:pPr>
      <w:r>
        <w:rPr>
          <w:rFonts w:ascii="Times New Roman" w:hAnsi="Times New Roman"/>
          <w:sz w:val="24"/>
          <w:szCs w:val="24"/>
        </w:rPr>
        <w:t xml:space="preserve">Датой признания дебиторской задолженности по доходам инвестиционных паев ПИФ и паев (акций) иностранных инвестиционных фондов, паи которых входят в состав имущества ПИФ является дата возникновения обязательств по выплате дохода, указанная в сообщении о выплате дохода по инвестиционным паям ПИФ и </w:t>
      </w:r>
      <w:r>
        <w:rPr>
          <w:rFonts w:ascii="Times New Roman" w:hAnsi="Times New Roman"/>
          <w:sz w:val="24"/>
          <w:szCs w:val="24"/>
        </w:rPr>
        <w:lastRenderedPageBreak/>
        <w:t xml:space="preserve">паям (акциям) иностранных инвестиционных фондов, которые входят в состав имущества ПИФ, в соответствии с информацией НКО АО НРД или информацией о выплате дохода на официальном сайте управляющей компании/в официальном информировании владельцев инвестиционных паев о выплате дохода (для квалифицированных инвесторов); </w:t>
      </w:r>
    </w:p>
    <w:p w14:paraId="4BB14C9F" w14:textId="77777777" w:rsidR="000C1E0E" w:rsidRDefault="000C1E0E" w:rsidP="000C1E0E">
      <w:pPr>
        <w:widowControl w:val="0"/>
        <w:tabs>
          <w:tab w:val="left" w:pos="426"/>
        </w:tabs>
        <w:spacing w:before="60" w:after="100" w:line="240" w:lineRule="auto"/>
        <w:ind w:left="720"/>
        <w:outlineLvl w:val="0"/>
        <w:rPr>
          <w:rFonts w:ascii="Times New Roman" w:hAnsi="Times New Roman"/>
          <w:sz w:val="24"/>
          <w:szCs w:val="24"/>
        </w:rPr>
      </w:pPr>
      <w:r>
        <w:rPr>
          <w:rFonts w:ascii="Times New Roman" w:hAnsi="Times New Roman"/>
          <w:sz w:val="24"/>
          <w:szCs w:val="24"/>
        </w:rPr>
        <w:t xml:space="preserve">- дата, после которой иностранные ценные бумаги начинают торговаться без учета объявленных дивидендов (DVD_EX_DT) в соответствии с информационной системой "Блумберг"(Bloomberg); </w:t>
      </w:r>
    </w:p>
    <w:p w14:paraId="6BD53B23" w14:textId="77777777" w:rsidR="000C1E0E" w:rsidRDefault="000C1E0E" w:rsidP="000C1E0E">
      <w:pPr>
        <w:widowControl w:val="0"/>
        <w:tabs>
          <w:tab w:val="left" w:pos="426"/>
        </w:tabs>
        <w:spacing w:before="60" w:after="100" w:line="240" w:lineRule="auto"/>
        <w:ind w:left="720"/>
        <w:outlineLvl w:val="0"/>
        <w:rPr>
          <w:rFonts w:ascii="Times New Roman" w:hAnsi="Times New Roman"/>
          <w:sz w:val="24"/>
          <w:szCs w:val="24"/>
        </w:rPr>
      </w:pPr>
      <w:r>
        <w:rPr>
          <w:rFonts w:ascii="Times New Roman" w:hAnsi="Times New Roman"/>
          <w:sz w:val="24"/>
          <w:szCs w:val="24"/>
        </w:rPr>
        <w:t>- дата определения выплаты дохода, согласно информации на официальном сайте управляющей компании/в официальном сообщении для владельцев инвестиционных паев о выплате дохода (для квалифицированных инвесторов);</w:t>
      </w:r>
    </w:p>
    <w:p w14:paraId="6E4AA393" w14:textId="77777777" w:rsidR="000C1E0E" w:rsidRDefault="000C1E0E" w:rsidP="000C1E0E">
      <w:pPr>
        <w:widowControl w:val="0"/>
        <w:tabs>
          <w:tab w:val="left" w:pos="426"/>
        </w:tabs>
        <w:spacing w:before="60" w:after="100" w:line="240" w:lineRule="auto"/>
        <w:ind w:left="720"/>
        <w:outlineLvl w:val="0"/>
        <w:rPr>
          <w:rFonts w:ascii="Times New Roman" w:hAnsi="Times New Roman"/>
          <w:sz w:val="24"/>
          <w:szCs w:val="24"/>
        </w:rPr>
      </w:pPr>
      <w:r>
        <w:rPr>
          <w:rFonts w:ascii="Times New Roman" w:hAnsi="Times New Roman"/>
          <w:sz w:val="24"/>
          <w:szCs w:val="24"/>
        </w:rPr>
        <w:t>- при отсутствии информации из выше указанных источников (в том числе размера причитающихся выплат) датой признания дебиторской задолженности будет являться дата зачисления денежных средств на расчетный счет Управляющей компании Д.У. ПИФ (в том числе на счет брокера ПИФ).</w:t>
      </w:r>
    </w:p>
    <w:p w14:paraId="407233F7" w14:textId="77777777" w:rsidR="000C1E0E" w:rsidRDefault="000C1E0E" w:rsidP="000C1E0E">
      <w:pPr>
        <w:widowControl w:val="0"/>
        <w:numPr>
          <w:ilvl w:val="2"/>
          <w:numId w:val="4"/>
        </w:numPr>
        <w:tabs>
          <w:tab w:val="left" w:pos="426"/>
        </w:tabs>
        <w:spacing w:before="60" w:after="100" w:line="240" w:lineRule="auto"/>
        <w:outlineLvl w:val="0"/>
        <w:rPr>
          <w:rFonts w:ascii="Times New Roman" w:hAnsi="Times New Roman"/>
          <w:sz w:val="24"/>
          <w:szCs w:val="24"/>
        </w:rPr>
      </w:pPr>
      <w:r>
        <w:rPr>
          <w:rFonts w:ascii="Times New Roman" w:hAnsi="Times New Roman"/>
          <w:sz w:val="24"/>
          <w:szCs w:val="24"/>
        </w:rPr>
        <w:t>Дебиторская задолженность, указанная в п. 2.19.3. и 2.19.5. Правил оценки СЧА, признается только в случае, если:</w:t>
      </w:r>
    </w:p>
    <w:p w14:paraId="7840646B" w14:textId="77777777" w:rsidR="000C1E0E" w:rsidRDefault="000C1E0E" w:rsidP="000C1E0E">
      <w:pPr>
        <w:tabs>
          <w:tab w:val="left" w:pos="426"/>
        </w:tabs>
        <w:spacing w:before="60" w:line="240" w:lineRule="auto"/>
        <w:ind w:left="709"/>
        <w:outlineLvl w:val="0"/>
        <w:rPr>
          <w:rFonts w:ascii="Times New Roman" w:hAnsi="Times New Roman"/>
          <w:sz w:val="24"/>
          <w:szCs w:val="24"/>
        </w:rPr>
      </w:pPr>
      <w:r>
        <w:rPr>
          <w:rFonts w:ascii="Times New Roman" w:hAnsi="Times New Roman"/>
          <w:sz w:val="24"/>
          <w:szCs w:val="24"/>
        </w:rPr>
        <w:t>-существует вероятность того, что экономические выгоды, связанные с причитающимся процентным (купонным) доходом или причитающимися дивидендами, поступят в Фонд.</w:t>
      </w:r>
    </w:p>
    <w:p w14:paraId="595946F8" w14:textId="77777777" w:rsidR="000C1E0E" w:rsidRDefault="000C1E0E" w:rsidP="000C1E0E">
      <w:pPr>
        <w:tabs>
          <w:tab w:val="left" w:pos="426"/>
        </w:tabs>
        <w:spacing w:before="60" w:line="240" w:lineRule="auto"/>
        <w:ind w:left="709"/>
        <w:outlineLvl w:val="0"/>
        <w:rPr>
          <w:rFonts w:ascii="Times New Roman" w:hAnsi="Times New Roman"/>
          <w:sz w:val="24"/>
          <w:szCs w:val="24"/>
        </w:rPr>
      </w:pPr>
      <w:r>
        <w:rPr>
          <w:rFonts w:ascii="Times New Roman" w:hAnsi="Times New Roman"/>
          <w:sz w:val="24"/>
          <w:szCs w:val="24"/>
        </w:rPr>
        <w:t>- сумма процентов (дивидендов) может быть надежно оценена.</w:t>
      </w:r>
    </w:p>
    <w:p w14:paraId="510479B9" w14:textId="77777777" w:rsidR="000C1E0E" w:rsidRDefault="000C1E0E" w:rsidP="000C1E0E">
      <w:pPr>
        <w:widowControl w:val="0"/>
        <w:numPr>
          <w:ilvl w:val="2"/>
          <w:numId w:val="4"/>
        </w:numPr>
        <w:tabs>
          <w:tab w:val="left" w:pos="426"/>
        </w:tabs>
        <w:spacing w:before="60" w:after="100" w:line="240" w:lineRule="auto"/>
        <w:outlineLvl w:val="0"/>
        <w:rPr>
          <w:rFonts w:ascii="Times New Roman" w:hAnsi="Times New Roman"/>
          <w:sz w:val="24"/>
          <w:szCs w:val="24"/>
        </w:rPr>
      </w:pPr>
      <w:r>
        <w:rPr>
          <w:rFonts w:ascii="Times New Roman" w:hAnsi="Times New Roman"/>
          <w:sz w:val="24"/>
          <w:szCs w:val="24"/>
        </w:rPr>
        <w:t>Сумма процентов может быть надежно оценена, если условиями договора (условиями выпуска ценных бумаг) установлена ставка процента и порядок ее расчета.</w:t>
      </w:r>
    </w:p>
    <w:p w14:paraId="33BEA20C" w14:textId="77777777" w:rsidR="000C1E0E" w:rsidRDefault="000C1E0E" w:rsidP="000C1E0E">
      <w:pPr>
        <w:widowControl w:val="0"/>
        <w:numPr>
          <w:ilvl w:val="2"/>
          <w:numId w:val="4"/>
        </w:numPr>
        <w:tabs>
          <w:tab w:val="left" w:pos="426"/>
        </w:tabs>
        <w:spacing w:before="60" w:after="100" w:line="240" w:lineRule="auto"/>
        <w:outlineLvl w:val="0"/>
        <w:rPr>
          <w:rFonts w:ascii="Times New Roman" w:hAnsi="Times New Roman"/>
          <w:sz w:val="24"/>
          <w:szCs w:val="24"/>
        </w:rPr>
      </w:pPr>
      <w:r>
        <w:rPr>
          <w:rFonts w:ascii="Times New Roman" w:hAnsi="Times New Roman"/>
          <w:sz w:val="24"/>
          <w:szCs w:val="24"/>
        </w:rPr>
        <w:t>Сумма дивидендов может быть надежно оценена, если в доступных информационных ресурсах раскрыта информация о размере дивидендов по акциям каждой категории (типа), форме их выплаты, порядке выплаты дивидендов в не денежной форме, дате, на которую определяются лица, имеющие право на получение дивидендов.</w:t>
      </w:r>
    </w:p>
    <w:p w14:paraId="335B7928" w14:textId="77777777" w:rsidR="000C1E0E" w:rsidRDefault="000C1E0E" w:rsidP="000C1E0E">
      <w:pPr>
        <w:widowControl w:val="0"/>
        <w:numPr>
          <w:ilvl w:val="2"/>
          <w:numId w:val="4"/>
        </w:numPr>
        <w:tabs>
          <w:tab w:val="left" w:pos="426"/>
        </w:tabs>
        <w:spacing w:before="60" w:after="100" w:line="240" w:lineRule="auto"/>
        <w:outlineLvl w:val="0"/>
        <w:rPr>
          <w:rFonts w:ascii="Times New Roman" w:hAnsi="Times New Roman"/>
          <w:sz w:val="24"/>
          <w:szCs w:val="24"/>
        </w:rPr>
      </w:pPr>
      <w:r>
        <w:rPr>
          <w:rFonts w:ascii="Times New Roman" w:hAnsi="Times New Roman"/>
          <w:sz w:val="24"/>
          <w:szCs w:val="24"/>
        </w:rPr>
        <w:t>Датой прекращения признания дебиторской задолженности по выплате дивидендов в качестве актива является:</w:t>
      </w:r>
    </w:p>
    <w:p w14:paraId="5743C25B" w14:textId="77777777" w:rsidR="000C1E0E" w:rsidRDefault="000C1E0E" w:rsidP="000C1E0E">
      <w:pPr>
        <w:widowControl w:val="0"/>
        <w:tabs>
          <w:tab w:val="left" w:pos="426"/>
        </w:tabs>
        <w:spacing w:before="60" w:after="100" w:line="240" w:lineRule="auto"/>
        <w:ind w:left="720"/>
        <w:outlineLvl w:val="0"/>
        <w:rPr>
          <w:rFonts w:ascii="Times New Roman" w:hAnsi="Times New Roman"/>
          <w:sz w:val="24"/>
          <w:szCs w:val="24"/>
        </w:rPr>
      </w:pPr>
      <w:r>
        <w:rPr>
          <w:rFonts w:ascii="Times New Roman" w:hAnsi="Times New Roman"/>
          <w:sz w:val="24"/>
          <w:szCs w:val="24"/>
        </w:rPr>
        <w:t>-дата исполнения  обязательств эмитентом, подтвержденной банковской выпиской с расчетного счета  Фонда или отчетом брокера Фонда;</w:t>
      </w:r>
    </w:p>
    <w:p w14:paraId="5D83FA31" w14:textId="77777777" w:rsidR="000C1E0E" w:rsidRDefault="000C1E0E" w:rsidP="000C1E0E">
      <w:pPr>
        <w:widowControl w:val="0"/>
        <w:tabs>
          <w:tab w:val="left" w:pos="426"/>
        </w:tabs>
        <w:spacing w:before="60" w:after="100" w:line="240" w:lineRule="auto"/>
        <w:ind w:left="720"/>
        <w:outlineLvl w:val="0"/>
        <w:rPr>
          <w:rFonts w:ascii="Times New Roman" w:hAnsi="Times New Roman"/>
          <w:sz w:val="24"/>
          <w:szCs w:val="24"/>
        </w:rPr>
      </w:pPr>
      <w:r>
        <w:rPr>
          <w:rFonts w:ascii="Times New Roman" w:hAnsi="Times New Roman"/>
          <w:sz w:val="24"/>
          <w:szCs w:val="24"/>
        </w:rPr>
        <w:t>-дата ликвидации эмитента, согласно выписке из ЕГРЮЛ (или выписки из соответствующего уполномоченного органа иностранного государства). Дебиторская задолженность по доходам по инвестиционным паям паевых инвестиционных фондов и паев (акций) иностранных инвестиционных фондов, признается с даты возникновения обязательства по выплате дохода, указанной в сообщении о выплате дохода по инвестиционным паям паевых инвестиционных фондов и паям (акциям) иностранных инвестиционных фондов, которые входят в состав имущества Фонда, в соответствии с информацией НКО АО НРД или информации о выплате дохода на официальном сайте Управляющей компании. в официальном информировании владельцев инвестиционных паев о выплате дохода (для квалифицированных инвесторов).</w:t>
      </w:r>
    </w:p>
    <w:p w14:paraId="2B22218A" w14:textId="77777777" w:rsidR="000C1E0E" w:rsidRDefault="000C1E0E" w:rsidP="000C1E0E">
      <w:pPr>
        <w:widowControl w:val="0"/>
        <w:numPr>
          <w:ilvl w:val="2"/>
          <w:numId w:val="4"/>
        </w:numPr>
        <w:tabs>
          <w:tab w:val="left" w:pos="426"/>
        </w:tabs>
        <w:spacing w:before="60" w:after="100" w:line="240" w:lineRule="auto"/>
        <w:outlineLvl w:val="0"/>
        <w:rPr>
          <w:rFonts w:ascii="Times New Roman" w:hAnsi="Times New Roman"/>
          <w:sz w:val="24"/>
          <w:szCs w:val="24"/>
        </w:rPr>
      </w:pPr>
      <w:r>
        <w:rPr>
          <w:rFonts w:ascii="Times New Roman" w:hAnsi="Times New Roman"/>
          <w:sz w:val="24"/>
          <w:szCs w:val="24"/>
        </w:rPr>
        <w:t>Датой прекращения признания дебиторской задолженности по доходам инвестиционных паев паевых инвестиционных фондов и паев (акций) иностранных инвестиционных фондов является:</w:t>
      </w:r>
    </w:p>
    <w:p w14:paraId="576D68A6" w14:textId="738B5E3F" w:rsidR="000C1E0E" w:rsidRDefault="00E06251" w:rsidP="000C1E0E">
      <w:pPr>
        <w:widowControl w:val="0"/>
        <w:tabs>
          <w:tab w:val="left" w:pos="426"/>
        </w:tabs>
        <w:spacing w:before="60" w:after="100" w:line="240" w:lineRule="auto"/>
        <w:ind w:left="720"/>
        <w:outlineLvl w:val="0"/>
        <w:rPr>
          <w:rFonts w:ascii="Times New Roman" w:hAnsi="Times New Roman"/>
          <w:sz w:val="24"/>
          <w:szCs w:val="24"/>
        </w:rPr>
      </w:pPr>
      <w:r>
        <w:rPr>
          <w:rFonts w:ascii="Times New Roman" w:hAnsi="Times New Roman"/>
          <w:sz w:val="24"/>
          <w:szCs w:val="24"/>
        </w:rPr>
        <w:t xml:space="preserve">-дата исполнения </w:t>
      </w:r>
      <w:r w:rsidR="000C1E0E">
        <w:rPr>
          <w:rFonts w:ascii="Times New Roman" w:hAnsi="Times New Roman"/>
          <w:sz w:val="24"/>
          <w:szCs w:val="24"/>
        </w:rPr>
        <w:t>обязательств Управляющей компанией, подтвержденной банковской выпиской с расчетного счета Фонда или отчетом брокера Фонда;</w:t>
      </w:r>
    </w:p>
    <w:p w14:paraId="1B548704" w14:textId="77777777" w:rsidR="000C1E0E" w:rsidRDefault="000C1E0E" w:rsidP="000C1E0E">
      <w:pPr>
        <w:widowControl w:val="0"/>
        <w:tabs>
          <w:tab w:val="left" w:pos="426"/>
        </w:tabs>
        <w:spacing w:before="60" w:after="100" w:line="240" w:lineRule="auto"/>
        <w:ind w:left="720"/>
        <w:outlineLvl w:val="0"/>
        <w:rPr>
          <w:rFonts w:ascii="Times New Roman" w:hAnsi="Times New Roman"/>
          <w:sz w:val="24"/>
          <w:szCs w:val="24"/>
        </w:rPr>
      </w:pPr>
      <w:r>
        <w:rPr>
          <w:rFonts w:ascii="Times New Roman" w:hAnsi="Times New Roman"/>
          <w:sz w:val="24"/>
          <w:szCs w:val="24"/>
        </w:rPr>
        <w:t>- дата ликвидации Управляющей компании (инвестиционного фонда (лица, выдавшего паи (выпустившего акции)), согласно выписке из ЕГРЮЛ (или выписки из соответствующего уполномоченного органа иностранного государства).</w:t>
      </w:r>
    </w:p>
    <w:p w14:paraId="14CC6EB6" w14:textId="77777777" w:rsidR="000C1E0E" w:rsidRDefault="000C1E0E" w:rsidP="000C1E0E">
      <w:pPr>
        <w:widowControl w:val="0"/>
        <w:numPr>
          <w:ilvl w:val="2"/>
          <w:numId w:val="4"/>
        </w:numPr>
        <w:tabs>
          <w:tab w:val="left" w:pos="426"/>
        </w:tabs>
        <w:spacing w:before="60" w:after="100" w:line="240" w:lineRule="auto"/>
        <w:outlineLvl w:val="0"/>
        <w:rPr>
          <w:rFonts w:ascii="Times New Roman" w:hAnsi="Times New Roman"/>
          <w:sz w:val="24"/>
          <w:szCs w:val="24"/>
        </w:rPr>
      </w:pPr>
      <w:r>
        <w:rPr>
          <w:rFonts w:ascii="Times New Roman" w:hAnsi="Times New Roman"/>
          <w:sz w:val="24"/>
          <w:szCs w:val="24"/>
        </w:rPr>
        <w:t xml:space="preserve">Дебиторская задолженность по денежным средствам, находящимся у профессиональных участников рынка ценных бумаг признается с даты зачисления денежных средств на специальный брокерский счет на основании отчета брокера. </w:t>
      </w:r>
    </w:p>
    <w:p w14:paraId="01BFEFD2" w14:textId="77777777" w:rsidR="000C1E0E" w:rsidRDefault="000C1E0E" w:rsidP="000C1E0E">
      <w:pPr>
        <w:widowControl w:val="0"/>
        <w:numPr>
          <w:ilvl w:val="2"/>
          <w:numId w:val="4"/>
        </w:numPr>
        <w:tabs>
          <w:tab w:val="left" w:pos="426"/>
        </w:tabs>
        <w:spacing w:before="60" w:after="100" w:line="240" w:lineRule="auto"/>
        <w:outlineLvl w:val="0"/>
        <w:rPr>
          <w:rFonts w:ascii="Times New Roman" w:hAnsi="Times New Roman"/>
          <w:sz w:val="24"/>
          <w:szCs w:val="24"/>
        </w:rPr>
      </w:pPr>
      <w:r>
        <w:rPr>
          <w:rFonts w:ascii="Times New Roman" w:hAnsi="Times New Roman"/>
          <w:sz w:val="24"/>
          <w:szCs w:val="24"/>
        </w:rPr>
        <w:t>Датой прекращения признания дебиторской задолженности по денежным средствам, находящимся у профессиональных участников, является:</w:t>
      </w:r>
    </w:p>
    <w:p w14:paraId="3B600B81" w14:textId="77777777" w:rsidR="000C1E0E" w:rsidRDefault="000C1E0E" w:rsidP="000C1E0E">
      <w:pPr>
        <w:widowControl w:val="0"/>
        <w:tabs>
          <w:tab w:val="left" w:pos="426"/>
        </w:tabs>
        <w:spacing w:before="60" w:after="100" w:line="240" w:lineRule="auto"/>
        <w:ind w:left="720"/>
        <w:outlineLvl w:val="0"/>
        <w:rPr>
          <w:rFonts w:ascii="Times New Roman" w:hAnsi="Times New Roman"/>
          <w:sz w:val="24"/>
          <w:szCs w:val="24"/>
        </w:rPr>
      </w:pPr>
      <w:r>
        <w:rPr>
          <w:rFonts w:ascii="Times New Roman" w:hAnsi="Times New Roman"/>
          <w:sz w:val="24"/>
          <w:szCs w:val="24"/>
        </w:rPr>
        <w:t>-дата исполнения брокером обязательств по перечислению денежных средств со специального брокерского счета;</w:t>
      </w:r>
    </w:p>
    <w:p w14:paraId="6EA620E4" w14:textId="77777777" w:rsidR="000C1E0E" w:rsidRDefault="000C1E0E" w:rsidP="000C1E0E">
      <w:pPr>
        <w:widowControl w:val="0"/>
        <w:tabs>
          <w:tab w:val="left" w:pos="426"/>
        </w:tabs>
        <w:spacing w:before="60" w:after="100" w:line="240" w:lineRule="auto"/>
        <w:ind w:left="720"/>
        <w:outlineLvl w:val="0"/>
        <w:rPr>
          <w:rFonts w:ascii="Times New Roman" w:hAnsi="Times New Roman"/>
          <w:sz w:val="24"/>
          <w:szCs w:val="24"/>
        </w:rPr>
      </w:pPr>
      <w:r>
        <w:rPr>
          <w:rFonts w:ascii="Times New Roman" w:hAnsi="Times New Roman"/>
          <w:sz w:val="24"/>
          <w:szCs w:val="24"/>
        </w:rPr>
        <w:t>-дата решения Банка России об отзыве лицензии у брокера (денежные средства переходят в статус прочей дебиторской задолженности);</w:t>
      </w:r>
    </w:p>
    <w:p w14:paraId="7648B12D" w14:textId="77777777" w:rsidR="000C1E0E" w:rsidRDefault="000C1E0E" w:rsidP="000C1E0E">
      <w:pPr>
        <w:widowControl w:val="0"/>
        <w:tabs>
          <w:tab w:val="left" w:pos="426"/>
        </w:tabs>
        <w:spacing w:before="60" w:after="100" w:line="240" w:lineRule="auto"/>
        <w:ind w:left="720"/>
        <w:outlineLvl w:val="0"/>
        <w:rPr>
          <w:rFonts w:ascii="Times New Roman" w:hAnsi="Times New Roman"/>
          <w:sz w:val="24"/>
          <w:szCs w:val="24"/>
        </w:rPr>
      </w:pPr>
      <w:r>
        <w:rPr>
          <w:rFonts w:ascii="Times New Roman" w:hAnsi="Times New Roman"/>
          <w:sz w:val="24"/>
          <w:szCs w:val="24"/>
        </w:rPr>
        <w:t xml:space="preserve">-дата ликвидации брокера согласно информации, раскрытой в официальном доступном источнике (в том числе записи в ЕГРЮЛ о ликвидации брокера). </w:t>
      </w:r>
    </w:p>
    <w:p w14:paraId="5DC21032" w14:textId="77777777" w:rsidR="000C1E0E" w:rsidRDefault="000C1E0E" w:rsidP="000C1E0E">
      <w:pPr>
        <w:widowControl w:val="0"/>
        <w:numPr>
          <w:ilvl w:val="2"/>
          <w:numId w:val="4"/>
        </w:numPr>
        <w:tabs>
          <w:tab w:val="left" w:pos="284"/>
          <w:tab w:val="left" w:pos="426"/>
          <w:tab w:val="left" w:pos="851"/>
        </w:tabs>
        <w:spacing w:before="60" w:after="100" w:line="240" w:lineRule="auto"/>
        <w:outlineLvl w:val="0"/>
        <w:rPr>
          <w:rFonts w:ascii="Times New Roman" w:hAnsi="Times New Roman"/>
          <w:sz w:val="24"/>
          <w:szCs w:val="24"/>
        </w:rPr>
      </w:pPr>
      <w:r>
        <w:rPr>
          <w:rFonts w:ascii="Times New Roman" w:hAnsi="Times New Roman"/>
          <w:sz w:val="24"/>
          <w:szCs w:val="24"/>
        </w:rPr>
        <w:t>Прекращение признания дебиторской задолженности может также осуществляться по иным законным основаниям (судебное решение и пр.).</w:t>
      </w:r>
    </w:p>
    <w:p w14:paraId="78F429F3" w14:textId="77777777" w:rsidR="000C1E0E" w:rsidRDefault="000C1E0E" w:rsidP="000C1E0E">
      <w:pPr>
        <w:widowControl w:val="0"/>
        <w:numPr>
          <w:ilvl w:val="2"/>
          <w:numId w:val="4"/>
        </w:numPr>
        <w:tabs>
          <w:tab w:val="left" w:pos="284"/>
          <w:tab w:val="left" w:pos="426"/>
          <w:tab w:val="left" w:pos="851"/>
        </w:tabs>
        <w:spacing w:before="60" w:after="100" w:line="240" w:lineRule="auto"/>
        <w:outlineLvl w:val="0"/>
        <w:rPr>
          <w:rFonts w:ascii="Times New Roman" w:hAnsi="Times New Roman"/>
          <w:sz w:val="24"/>
          <w:szCs w:val="24"/>
        </w:rPr>
      </w:pPr>
      <w:r>
        <w:rPr>
          <w:rFonts w:ascii="Times New Roman" w:hAnsi="Times New Roman"/>
          <w:sz w:val="24"/>
          <w:szCs w:val="24"/>
        </w:rPr>
        <w:t xml:space="preserve">Справедливая стоимость дебиторской задолженности, в случае необходимости, определяется с учетом корректировки на кредитное обесценение в соответствии с порядком, указанным в п.3.13 настоящих Правил. </w:t>
      </w:r>
    </w:p>
    <w:p w14:paraId="49FA3CAC" w14:textId="77777777" w:rsidR="000C1E0E" w:rsidRDefault="000C1E0E" w:rsidP="000C1E0E">
      <w:pPr>
        <w:widowControl w:val="0"/>
        <w:numPr>
          <w:ilvl w:val="1"/>
          <w:numId w:val="4"/>
        </w:numPr>
        <w:tabs>
          <w:tab w:val="left" w:pos="426"/>
        </w:tabs>
        <w:spacing w:before="60" w:after="100" w:line="240" w:lineRule="auto"/>
        <w:outlineLvl w:val="0"/>
        <w:rPr>
          <w:rFonts w:ascii="Times New Roman" w:hAnsi="Times New Roman"/>
          <w:sz w:val="24"/>
          <w:szCs w:val="24"/>
        </w:rPr>
      </w:pPr>
      <w:r>
        <w:rPr>
          <w:rFonts w:ascii="Times New Roman" w:hAnsi="Times New Roman"/>
          <w:b/>
          <w:sz w:val="24"/>
          <w:szCs w:val="24"/>
        </w:rPr>
        <w:t>Признание (прекращение признания) ценных бумаг, в том числе депозитных сертификатов, осуществляется в следующем порядке</w:t>
      </w:r>
      <w:r>
        <w:rPr>
          <w:rFonts w:ascii="Times New Roman" w:hAnsi="Times New Roman"/>
          <w:sz w:val="24"/>
          <w:szCs w:val="24"/>
        </w:rPr>
        <w:t xml:space="preserve">: </w:t>
      </w:r>
    </w:p>
    <w:p w14:paraId="1FF673D2" w14:textId="0BF8F867" w:rsidR="000C1E0E" w:rsidRDefault="000C1E0E" w:rsidP="000C1E0E">
      <w:pPr>
        <w:widowControl w:val="0"/>
        <w:numPr>
          <w:ilvl w:val="2"/>
          <w:numId w:val="4"/>
        </w:numPr>
        <w:tabs>
          <w:tab w:val="left" w:pos="426"/>
        </w:tabs>
        <w:spacing w:before="60" w:after="100" w:line="240" w:lineRule="auto"/>
        <w:outlineLvl w:val="0"/>
        <w:rPr>
          <w:rFonts w:ascii="Times New Roman" w:hAnsi="Times New Roman"/>
          <w:sz w:val="24"/>
          <w:szCs w:val="24"/>
        </w:rPr>
      </w:pPr>
      <w:r>
        <w:rPr>
          <w:rFonts w:ascii="Times New Roman" w:hAnsi="Times New Roman"/>
          <w:sz w:val="24"/>
          <w:szCs w:val="24"/>
        </w:rPr>
        <w:t>Ценные бумаги, в том</w:t>
      </w:r>
      <w:r w:rsidR="00E06251">
        <w:rPr>
          <w:rFonts w:ascii="Times New Roman" w:hAnsi="Times New Roman"/>
          <w:sz w:val="24"/>
          <w:szCs w:val="24"/>
        </w:rPr>
        <w:t xml:space="preserve"> числе депозитные сертификаты, </w:t>
      </w:r>
      <w:r>
        <w:rPr>
          <w:rFonts w:ascii="Times New Roman" w:hAnsi="Times New Roman"/>
          <w:sz w:val="24"/>
          <w:szCs w:val="24"/>
        </w:rPr>
        <w:t>признаются как актив:</w:t>
      </w:r>
    </w:p>
    <w:p w14:paraId="4CC5F0E4" w14:textId="77777777" w:rsidR="000C1E0E" w:rsidRDefault="000C1E0E" w:rsidP="000C1E0E">
      <w:pPr>
        <w:pStyle w:val="12"/>
        <w:tabs>
          <w:tab w:val="left" w:pos="993"/>
        </w:tabs>
        <w:jc w:val="both"/>
        <w:rPr>
          <w:szCs w:val="24"/>
        </w:rPr>
      </w:pPr>
      <w:r>
        <w:rPr>
          <w:szCs w:val="24"/>
        </w:rPr>
        <w:t xml:space="preserve">     -по дате перехода прав собственности на ценные бумаги. Если ценная бумага подлежит учету на счете депо - дата зачисления ценной бумаги на счет депо, открытый Фонду в специализированном депозитарии, подтвержденная соответствующей выпиской по счету депо;</w:t>
      </w:r>
    </w:p>
    <w:p w14:paraId="60B73E1B" w14:textId="29C201FE" w:rsidR="000C1E0E" w:rsidRDefault="000C1E0E" w:rsidP="000C1E0E">
      <w:pPr>
        <w:pStyle w:val="12"/>
        <w:tabs>
          <w:tab w:val="left" w:pos="993"/>
        </w:tabs>
        <w:jc w:val="both"/>
        <w:rPr>
          <w:szCs w:val="24"/>
        </w:rPr>
      </w:pPr>
      <w:r>
        <w:rPr>
          <w:szCs w:val="24"/>
        </w:rPr>
        <w:t>-если документарные ценные бумаги не подлежат учету на счетах депо (за исключением депозитных сертификатов) - с даты приема ценной бумаги Фонда, определенной в соотв</w:t>
      </w:r>
      <w:r w:rsidR="00E06251">
        <w:rPr>
          <w:szCs w:val="24"/>
        </w:rPr>
        <w:t xml:space="preserve">етствии с условиями договора и </w:t>
      </w:r>
      <w:r>
        <w:rPr>
          <w:szCs w:val="24"/>
        </w:rPr>
        <w:t>подтвержденной актом приема передачи ценных бумаг;</w:t>
      </w:r>
    </w:p>
    <w:p w14:paraId="70D6857F" w14:textId="0A6C19A8" w:rsidR="000C1E0E" w:rsidRDefault="000C1E0E" w:rsidP="000C1E0E">
      <w:pPr>
        <w:pStyle w:val="12"/>
        <w:tabs>
          <w:tab w:val="left" w:pos="993"/>
        </w:tabs>
        <w:jc w:val="both"/>
        <w:rPr>
          <w:rFonts w:eastAsia="Batang"/>
          <w:szCs w:val="24"/>
        </w:rPr>
      </w:pPr>
      <w:r>
        <w:rPr>
          <w:rFonts w:eastAsia="Batang"/>
          <w:szCs w:val="24"/>
        </w:rPr>
        <w:t>-по депозитным сертификатам - дата зачисления во вклад (депозит) денежных средств, подтвержденная выпиской со счета по вкладу (депозиту) или с даты приобретения такого сертификата подтвержденной актом.</w:t>
      </w:r>
    </w:p>
    <w:p w14:paraId="70CC445B" w14:textId="77777777" w:rsidR="000C1E0E" w:rsidRDefault="000C1E0E" w:rsidP="000C1E0E">
      <w:pPr>
        <w:widowControl w:val="0"/>
        <w:numPr>
          <w:ilvl w:val="2"/>
          <w:numId w:val="4"/>
        </w:numPr>
        <w:tabs>
          <w:tab w:val="left" w:pos="426"/>
        </w:tabs>
        <w:spacing w:before="60" w:after="100" w:line="240" w:lineRule="auto"/>
        <w:outlineLvl w:val="0"/>
        <w:rPr>
          <w:rFonts w:ascii="Times New Roman" w:hAnsi="Times New Roman"/>
          <w:sz w:val="24"/>
          <w:szCs w:val="24"/>
        </w:rPr>
      </w:pPr>
      <w:r>
        <w:rPr>
          <w:rFonts w:ascii="Times New Roman" w:hAnsi="Times New Roman"/>
          <w:sz w:val="24"/>
          <w:szCs w:val="24"/>
        </w:rPr>
        <w:t>Датой прекращения признания ценных бумаг, в том числе депозитных сертификатов, является:</w:t>
      </w:r>
    </w:p>
    <w:p w14:paraId="67675490" w14:textId="60453A5D" w:rsidR="000C1E0E" w:rsidRDefault="000C1E0E" w:rsidP="000C1E0E">
      <w:pPr>
        <w:pStyle w:val="12"/>
        <w:tabs>
          <w:tab w:val="left" w:pos="993"/>
        </w:tabs>
        <w:jc w:val="both"/>
        <w:rPr>
          <w:szCs w:val="24"/>
        </w:rPr>
      </w:pPr>
      <w:r>
        <w:rPr>
          <w:szCs w:val="24"/>
        </w:rPr>
        <w:t>-дата наступления срока погашения ценной бумаги, за исключением досрочного погашения, а в случае досрочного погашения ценной бумаги – с даты получения денежных средств в счет полного исполнения обязательств по досрочному погашению ценной бумаги;</w:t>
      </w:r>
    </w:p>
    <w:p w14:paraId="0223FBBF" w14:textId="56535F3D" w:rsidR="000C1E0E" w:rsidRDefault="000C1E0E" w:rsidP="000C1E0E">
      <w:pPr>
        <w:pStyle w:val="12"/>
        <w:tabs>
          <w:tab w:val="left" w:pos="993"/>
        </w:tabs>
        <w:jc w:val="both"/>
        <w:rPr>
          <w:szCs w:val="24"/>
        </w:rPr>
      </w:pPr>
      <w:r>
        <w:rPr>
          <w:szCs w:val="24"/>
        </w:rPr>
        <w:t>-дата перехода прав собственности на ценные бумаги. Если ценная бумага, подлежит учету на счете депо - дата списания ценной бумаги со сче</w:t>
      </w:r>
      <w:r w:rsidR="00E06251">
        <w:rPr>
          <w:szCs w:val="24"/>
        </w:rPr>
        <w:t xml:space="preserve">та депо, открытого  Управляющей </w:t>
      </w:r>
      <w:r>
        <w:rPr>
          <w:szCs w:val="24"/>
        </w:rPr>
        <w:t>компании Фонда в специализированном депозитарии, подтвержденная соответствующей выпиской по счету депо;</w:t>
      </w:r>
    </w:p>
    <w:p w14:paraId="397D8349" w14:textId="0CABDF52" w:rsidR="000C1E0E" w:rsidRDefault="000C1E0E" w:rsidP="000C1E0E">
      <w:pPr>
        <w:pStyle w:val="12"/>
        <w:tabs>
          <w:tab w:val="left" w:pos="993"/>
        </w:tabs>
        <w:jc w:val="both"/>
        <w:rPr>
          <w:rFonts w:eastAsia="Batang"/>
          <w:szCs w:val="24"/>
        </w:rPr>
      </w:pPr>
      <w:r>
        <w:rPr>
          <w:rFonts w:eastAsia="Batang"/>
          <w:szCs w:val="24"/>
        </w:rPr>
        <w:t>- если документарные ценные бумаги не подлежат учету на счетах депо (за исключением депозитных сертификатов) - с даты передачи ценной бумаги Фонда, определенной в соответствии с условиями договора и подтвержденной актом приема передачи ценных бумаг;</w:t>
      </w:r>
    </w:p>
    <w:p w14:paraId="1F226A81" w14:textId="77777777" w:rsidR="000C1E0E" w:rsidRDefault="000C1E0E" w:rsidP="000C1E0E">
      <w:pPr>
        <w:pStyle w:val="12"/>
        <w:tabs>
          <w:tab w:val="left" w:pos="993"/>
        </w:tabs>
        <w:jc w:val="both"/>
        <w:rPr>
          <w:szCs w:val="24"/>
        </w:rPr>
      </w:pPr>
      <w:r>
        <w:rPr>
          <w:szCs w:val="24"/>
        </w:rPr>
        <w:t xml:space="preserve"> - по депозитным сертификатам – дата списания с вклада (депозита) денежных средств, подтвержденная выпиской со счета по вкладу (депозиту), или с даты списания такого сертификата, подтвержденной актом;</w:t>
      </w:r>
    </w:p>
    <w:p w14:paraId="065C9F53" w14:textId="6A86B1F8" w:rsidR="000C1E0E" w:rsidRDefault="000C1E0E" w:rsidP="000C1E0E">
      <w:pPr>
        <w:pStyle w:val="12"/>
        <w:tabs>
          <w:tab w:val="left" w:pos="993"/>
        </w:tabs>
        <w:jc w:val="both"/>
        <w:rPr>
          <w:rFonts w:eastAsia="Batang"/>
          <w:szCs w:val="24"/>
        </w:rPr>
      </w:pPr>
      <w:r>
        <w:rPr>
          <w:rFonts w:eastAsia="Batang"/>
          <w:szCs w:val="24"/>
        </w:rPr>
        <w:t>- если по эмитенту ценных бумаг внесена запись в ЕГРЮЛ о ликвидации - с даты записи о ликвидации эмитента (получения информации о ликвидации эмитента).</w:t>
      </w:r>
    </w:p>
    <w:p w14:paraId="2A58D911" w14:textId="77777777" w:rsidR="000C1E0E" w:rsidRDefault="000C1E0E" w:rsidP="000C1E0E">
      <w:pPr>
        <w:pStyle w:val="12"/>
        <w:tabs>
          <w:tab w:val="left" w:pos="993"/>
        </w:tabs>
        <w:jc w:val="both"/>
        <w:rPr>
          <w:rFonts w:eastAsia="Batang"/>
          <w:szCs w:val="24"/>
        </w:rPr>
      </w:pPr>
    </w:p>
    <w:p w14:paraId="2D8C3792" w14:textId="77777777" w:rsidR="000C1E0E" w:rsidRDefault="000C1E0E" w:rsidP="000C1E0E">
      <w:pPr>
        <w:widowControl w:val="0"/>
        <w:numPr>
          <w:ilvl w:val="1"/>
          <w:numId w:val="4"/>
        </w:numPr>
        <w:tabs>
          <w:tab w:val="left" w:pos="426"/>
        </w:tabs>
        <w:spacing w:before="60" w:after="100" w:line="240" w:lineRule="auto"/>
        <w:outlineLvl w:val="0"/>
        <w:rPr>
          <w:rFonts w:ascii="Times New Roman" w:hAnsi="Times New Roman"/>
          <w:b/>
          <w:sz w:val="24"/>
          <w:szCs w:val="24"/>
        </w:rPr>
      </w:pPr>
      <w:r>
        <w:rPr>
          <w:rFonts w:ascii="Times New Roman" w:hAnsi="Times New Roman"/>
          <w:b/>
          <w:sz w:val="24"/>
          <w:szCs w:val="24"/>
        </w:rPr>
        <w:t>Признание (прекращение признания) задолженности по сделкам с ценными бумагами и валютой, заключенными на условиях Т+</w:t>
      </w:r>
    </w:p>
    <w:p w14:paraId="773CA012" w14:textId="4913B010" w:rsidR="000C1E0E" w:rsidRDefault="000C1E0E" w:rsidP="000C1E0E">
      <w:pPr>
        <w:widowControl w:val="0"/>
        <w:numPr>
          <w:ilvl w:val="2"/>
          <w:numId w:val="4"/>
        </w:numPr>
        <w:tabs>
          <w:tab w:val="left" w:pos="426"/>
        </w:tabs>
        <w:spacing w:before="60" w:after="100" w:line="240" w:lineRule="auto"/>
        <w:outlineLvl w:val="0"/>
        <w:rPr>
          <w:rFonts w:ascii="Times New Roman" w:hAnsi="Times New Roman"/>
          <w:sz w:val="24"/>
          <w:szCs w:val="24"/>
        </w:rPr>
      </w:pPr>
      <w:r>
        <w:rPr>
          <w:rFonts w:ascii="Times New Roman" w:hAnsi="Times New Roman"/>
          <w:sz w:val="24"/>
          <w:szCs w:val="24"/>
        </w:rPr>
        <w:t>Датой признания задолженности по сделкам с ценными бумагами, заключенным на условиях Т+ является дата заключения договора</w:t>
      </w:r>
      <w:r w:rsidR="00E06251">
        <w:rPr>
          <w:rFonts w:ascii="Times New Roman" w:hAnsi="Times New Roman"/>
          <w:sz w:val="24"/>
          <w:szCs w:val="24"/>
        </w:rPr>
        <w:t xml:space="preserve"> по </w:t>
      </w:r>
      <w:r>
        <w:rPr>
          <w:rFonts w:ascii="Times New Roman" w:hAnsi="Times New Roman"/>
          <w:sz w:val="24"/>
          <w:szCs w:val="24"/>
        </w:rPr>
        <w:t>приобретению (реализации) ценных бумаг.</w:t>
      </w:r>
    </w:p>
    <w:p w14:paraId="6BD5D00B" w14:textId="77777777" w:rsidR="000C1E0E" w:rsidRDefault="000C1E0E" w:rsidP="000C1E0E">
      <w:pPr>
        <w:widowControl w:val="0"/>
        <w:numPr>
          <w:ilvl w:val="2"/>
          <w:numId w:val="4"/>
        </w:numPr>
        <w:tabs>
          <w:tab w:val="left" w:pos="426"/>
        </w:tabs>
        <w:spacing w:before="60" w:after="100" w:line="240" w:lineRule="auto"/>
        <w:outlineLvl w:val="0"/>
        <w:rPr>
          <w:rFonts w:ascii="Times New Roman" w:hAnsi="Times New Roman"/>
          <w:sz w:val="24"/>
          <w:szCs w:val="24"/>
        </w:rPr>
      </w:pPr>
      <w:r>
        <w:rPr>
          <w:rFonts w:ascii="Times New Roman" w:hAnsi="Times New Roman"/>
          <w:sz w:val="24"/>
          <w:szCs w:val="24"/>
        </w:rPr>
        <w:t>Датой прекращения признания задолженности по сделкам с ценными бумагами, заключенным на условиях Т+ является дата перехода прав собственности на ценные бумаги   подтвержденная выпиской по счету депо.</w:t>
      </w:r>
    </w:p>
    <w:p w14:paraId="049B196E" w14:textId="116E1F88" w:rsidR="000C1E0E" w:rsidRDefault="000C1E0E" w:rsidP="000C1E0E">
      <w:pPr>
        <w:widowControl w:val="0"/>
        <w:numPr>
          <w:ilvl w:val="2"/>
          <w:numId w:val="4"/>
        </w:numPr>
        <w:tabs>
          <w:tab w:val="left" w:pos="426"/>
        </w:tabs>
        <w:spacing w:before="60" w:after="100" w:line="240" w:lineRule="auto"/>
        <w:outlineLvl w:val="0"/>
        <w:rPr>
          <w:rFonts w:ascii="Times New Roman" w:hAnsi="Times New Roman"/>
          <w:sz w:val="24"/>
          <w:szCs w:val="24"/>
        </w:rPr>
      </w:pPr>
      <w:r>
        <w:rPr>
          <w:rFonts w:ascii="Times New Roman" w:hAnsi="Times New Roman"/>
          <w:sz w:val="24"/>
          <w:szCs w:val="24"/>
        </w:rPr>
        <w:t>Датой признания задолженности по сделкам с валютой, заключенным на условиях Т+ явл</w:t>
      </w:r>
      <w:r w:rsidR="00E06251">
        <w:rPr>
          <w:rFonts w:ascii="Times New Roman" w:hAnsi="Times New Roman"/>
          <w:sz w:val="24"/>
          <w:szCs w:val="24"/>
        </w:rPr>
        <w:t>яется дата заключения договора </w:t>
      </w:r>
      <w:r>
        <w:rPr>
          <w:rFonts w:ascii="Times New Roman" w:hAnsi="Times New Roman"/>
          <w:sz w:val="24"/>
          <w:szCs w:val="24"/>
        </w:rPr>
        <w:t>по покупке/продаже валюты</w:t>
      </w:r>
    </w:p>
    <w:p w14:paraId="4D2B45EF" w14:textId="77777777" w:rsidR="000C1E0E" w:rsidRDefault="000C1E0E" w:rsidP="000C1E0E">
      <w:pPr>
        <w:widowControl w:val="0"/>
        <w:numPr>
          <w:ilvl w:val="2"/>
          <w:numId w:val="4"/>
        </w:numPr>
        <w:tabs>
          <w:tab w:val="left" w:pos="426"/>
        </w:tabs>
        <w:spacing w:before="60" w:after="100" w:line="240" w:lineRule="auto"/>
        <w:outlineLvl w:val="0"/>
        <w:rPr>
          <w:rFonts w:ascii="Times New Roman" w:hAnsi="Times New Roman"/>
          <w:sz w:val="24"/>
          <w:szCs w:val="24"/>
        </w:rPr>
      </w:pPr>
      <w:r>
        <w:rPr>
          <w:rFonts w:ascii="Times New Roman" w:hAnsi="Times New Roman"/>
          <w:sz w:val="24"/>
          <w:szCs w:val="24"/>
        </w:rPr>
        <w:t xml:space="preserve">Датой прекращения признания задолженности по сделкам с валютой, заключенным на условиях Т+ является </w:t>
      </w:r>
      <w:r>
        <w:rPr>
          <w:rFonts w:eastAsia="Batang"/>
          <w:sz w:val="22"/>
          <w:szCs w:val="22"/>
        </w:rPr>
        <w:t>дата перехода прав собственности на валюту на основании выписки со счета открытого на Управляющую компанию Д.У. ПИФ/брокерского отчета.</w:t>
      </w:r>
    </w:p>
    <w:p w14:paraId="1026CBC7" w14:textId="77777777" w:rsidR="000C1E0E" w:rsidRDefault="000C1E0E" w:rsidP="000C1E0E">
      <w:pPr>
        <w:pStyle w:val="12"/>
        <w:tabs>
          <w:tab w:val="left" w:pos="993"/>
        </w:tabs>
        <w:jc w:val="both"/>
        <w:rPr>
          <w:rFonts w:eastAsia="Batang"/>
          <w:szCs w:val="24"/>
        </w:rPr>
      </w:pPr>
    </w:p>
    <w:p w14:paraId="3B643EA0" w14:textId="77777777" w:rsidR="000C1E0E" w:rsidRDefault="000C1E0E" w:rsidP="000C1E0E">
      <w:pPr>
        <w:widowControl w:val="0"/>
        <w:numPr>
          <w:ilvl w:val="1"/>
          <w:numId w:val="4"/>
        </w:numPr>
        <w:tabs>
          <w:tab w:val="left" w:pos="426"/>
        </w:tabs>
        <w:spacing w:before="60" w:after="100" w:line="240" w:lineRule="auto"/>
        <w:outlineLvl w:val="0"/>
        <w:rPr>
          <w:rFonts w:ascii="Times New Roman" w:hAnsi="Times New Roman"/>
          <w:sz w:val="24"/>
          <w:szCs w:val="24"/>
        </w:rPr>
      </w:pPr>
      <w:r>
        <w:rPr>
          <w:rFonts w:ascii="Times New Roman" w:hAnsi="Times New Roman"/>
          <w:b/>
          <w:sz w:val="24"/>
          <w:szCs w:val="24"/>
        </w:rPr>
        <w:t>Признание (прекращение признания) обязательств осуществляется в следующем порядке</w:t>
      </w:r>
      <w:r>
        <w:rPr>
          <w:rFonts w:ascii="Times New Roman" w:hAnsi="Times New Roman"/>
          <w:sz w:val="24"/>
          <w:szCs w:val="24"/>
        </w:rPr>
        <w:t>:</w:t>
      </w:r>
    </w:p>
    <w:p w14:paraId="0FC355D9" w14:textId="77777777" w:rsidR="000C1E0E" w:rsidRDefault="000C1E0E" w:rsidP="000C1E0E">
      <w:pPr>
        <w:widowControl w:val="0"/>
        <w:numPr>
          <w:ilvl w:val="2"/>
          <w:numId w:val="4"/>
        </w:numPr>
        <w:tabs>
          <w:tab w:val="left" w:pos="426"/>
        </w:tabs>
        <w:spacing w:before="60" w:after="100" w:line="240" w:lineRule="auto"/>
        <w:outlineLvl w:val="0"/>
        <w:rPr>
          <w:rFonts w:ascii="Times New Roman" w:hAnsi="Times New Roman"/>
          <w:sz w:val="24"/>
          <w:szCs w:val="24"/>
        </w:rPr>
      </w:pPr>
      <w:r>
        <w:rPr>
          <w:rFonts w:ascii="Times New Roman" w:hAnsi="Times New Roman"/>
          <w:sz w:val="24"/>
          <w:szCs w:val="24"/>
        </w:rPr>
        <w:t>Обязательства в виде кредиторской задолженности по выдаче инвестиционных паев признаются со дня включения денежных средств (иного имущества), переданных в оплату инвестиционных паев, в имущество Фонда.</w:t>
      </w:r>
    </w:p>
    <w:p w14:paraId="53C11184" w14:textId="77777777" w:rsidR="000C1E0E" w:rsidRDefault="000C1E0E" w:rsidP="000C1E0E">
      <w:pPr>
        <w:widowControl w:val="0"/>
        <w:numPr>
          <w:ilvl w:val="2"/>
          <w:numId w:val="4"/>
        </w:numPr>
        <w:tabs>
          <w:tab w:val="left" w:pos="426"/>
        </w:tabs>
        <w:spacing w:before="60" w:after="100" w:line="240" w:lineRule="auto"/>
        <w:outlineLvl w:val="0"/>
        <w:rPr>
          <w:rFonts w:ascii="Times New Roman" w:hAnsi="Times New Roman"/>
          <w:sz w:val="24"/>
          <w:szCs w:val="24"/>
        </w:rPr>
      </w:pPr>
      <w:r>
        <w:rPr>
          <w:rFonts w:ascii="Times New Roman" w:hAnsi="Times New Roman"/>
          <w:sz w:val="24"/>
          <w:szCs w:val="24"/>
        </w:rPr>
        <w:t>Датой прекращения признания кредиторской задолженности по выдаче инвестиционных паев признается дата внесения приходной записи о выдаче инвестиционных паев в реестр Фонда согласно отчету лица, осуществляющего ведение реестра.</w:t>
      </w:r>
    </w:p>
    <w:p w14:paraId="30C9CAD2" w14:textId="77777777" w:rsidR="000C1E0E" w:rsidRDefault="000C1E0E" w:rsidP="000C1E0E">
      <w:pPr>
        <w:widowControl w:val="0"/>
        <w:numPr>
          <w:ilvl w:val="2"/>
          <w:numId w:val="4"/>
        </w:numPr>
        <w:tabs>
          <w:tab w:val="left" w:pos="426"/>
        </w:tabs>
        <w:spacing w:before="60" w:after="100" w:line="240" w:lineRule="auto"/>
        <w:outlineLvl w:val="0"/>
        <w:rPr>
          <w:rFonts w:ascii="Times New Roman" w:hAnsi="Times New Roman"/>
          <w:sz w:val="24"/>
          <w:szCs w:val="24"/>
        </w:rPr>
      </w:pPr>
      <w:r>
        <w:rPr>
          <w:rFonts w:ascii="Times New Roman" w:hAnsi="Times New Roman"/>
          <w:sz w:val="24"/>
          <w:szCs w:val="24"/>
        </w:rPr>
        <w:t>Обязательства по выплате денежной компенсации при погашении инвестиционных паев Фонда (перечислении денежных средств при обмене паев) признаются со дня осуществления расходной записи о погашении (списании при обмене) в реестре инвестиционных паев Фонда согласно отчета лица, осуществляющего ведение реестра.</w:t>
      </w:r>
    </w:p>
    <w:p w14:paraId="4876BA46" w14:textId="77777777" w:rsidR="000C1E0E" w:rsidRDefault="000C1E0E" w:rsidP="000C1E0E">
      <w:pPr>
        <w:widowControl w:val="0"/>
        <w:numPr>
          <w:ilvl w:val="2"/>
          <w:numId w:val="4"/>
        </w:numPr>
        <w:tabs>
          <w:tab w:val="left" w:pos="426"/>
        </w:tabs>
        <w:spacing w:before="60" w:after="100" w:line="240" w:lineRule="auto"/>
        <w:outlineLvl w:val="0"/>
        <w:rPr>
          <w:rFonts w:ascii="Times New Roman" w:hAnsi="Times New Roman"/>
          <w:sz w:val="24"/>
          <w:szCs w:val="24"/>
        </w:rPr>
      </w:pPr>
      <w:r>
        <w:rPr>
          <w:rFonts w:ascii="Times New Roman" w:hAnsi="Times New Roman"/>
          <w:sz w:val="24"/>
          <w:szCs w:val="24"/>
        </w:rPr>
        <w:t>Датой прекращения признания обязательства по выплате денежной компенсации при погашении инвестиционных паев Фонда (перечислении денежных средств при обмене паев) признается дата выплаты (перечисления по обмену) суммы денежной компенсации за инвестиционные паи согласно банковской выписке Фонда.</w:t>
      </w:r>
    </w:p>
    <w:p w14:paraId="0DD4DD0F" w14:textId="4F09F817" w:rsidR="000C1E0E" w:rsidRDefault="000C1E0E" w:rsidP="000C1E0E">
      <w:pPr>
        <w:widowControl w:val="0"/>
        <w:numPr>
          <w:ilvl w:val="2"/>
          <w:numId w:val="4"/>
        </w:numPr>
        <w:tabs>
          <w:tab w:val="left" w:pos="426"/>
        </w:tabs>
        <w:spacing w:before="60" w:after="100" w:line="240" w:lineRule="auto"/>
        <w:outlineLvl w:val="0"/>
        <w:rPr>
          <w:rFonts w:ascii="Times New Roman" w:hAnsi="Times New Roman"/>
          <w:sz w:val="24"/>
          <w:szCs w:val="24"/>
        </w:rPr>
      </w:pPr>
      <w:r>
        <w:rPr>
          <w:rFonts w:ascii="Times New Roman" w:hAnsi="Times New Roman"/>
          <w:sz w:val="24"/>
          <w:szCs w:val="24"/>
        </w:rPr>
        <w:t>Обязательства в виде кредиторской задолженности по вы</w:t>
      </w:r>
      <w:r w:rsidR="00E06251">
        <w:rPr>
          <w:rFonts w:ascii="Times New Roman" w:hAnsi="Times New Roman"/>
          <w:sz w:val="24"/>
          <w:szCs w:val="24"/>
        </w:rPr>
        <w:t xml:space="preserve">даче инвестиционных паев Фонда </w:t>
      </w:r>
      <w:r>
        <w:rPr>
          <w:rFonts w:ascii="Times New Roman" w:hAnsi="Times New Roman"/>
          <w:sz w:val="24"/>
          <w:szCs w:val="24"/>
        </w:rPr>
        <w:t>при обмене  признаются  с даты зачисления в Фонд имущества, поступившего в оплату обмена паев. Датой прекращения признания кредиторской задолженности по выдаче инвестиционных паев Фонда при обмене является дата внесения приходной записи о выдаче инвестиционных паев в реестр Фонда при обмене согласно отчету лица, осуществляющего ведение реестра.</w:t>
      </w:r>
    </w:p>
    <w:p w14:paraId="3A3142D2" w14:textId="3DA24458" w:rsidR="000C1E0E" w:rsidRDefault="000C1E0E" w:rsidP="000C1E0E">
      <w:pPr>
        <w:widowControl w:val="0"/>
        <w:numPr>
          <w:ilvl w:val="2"/>
          <w:numId w:val="4"/>
        </w:numPr>
        <w:tabs>
          <w:tab w:val="left" w:pos="426"/>
        </w:tabs>
        <w:spacing w:before="60" w:after="100" w:line="240" w:lineRule="auto"/>
        <w:outlineLvl w:val="0"/>
        <w:rPr>
          <w:rFonts w:ascii="Times New Roman" w:hAnsi="Times New Roman"/>
          <w:sz w:val="24"/>
          <w:szCs w:val="24"/>
        </w:rPr>
      </w:pPr>
      <w:r>
        <w:rPr>
          <w:rFonts w:ascii="Times New Roman" w:hAnsi="Times New Roman"/>
          <w:sz w:val="24"/>
          <w:szCs w:val="24"/>
        </w:rPr>
        <w:t>Обязательства по возмещению за счет имущества, составляющего Фонд, собственных денежных средств Управляющей компании Фонда, использованных ею для обмена паев Фонда либо выплаты денежной компенсации в связи с погашением инвестиционных паев обязательство признается со дня получения от Управляющей компании денежных средств согласно банковской выписке.</w:t>
      </w:r>
    </w:p>
    <w:p w14:paraId="0EDD38E0" w14:textId="77777777" w:rsidR="000C1E0E" w:rsidRDefault="000C1E0E" w:rsidP="000C1E0E">
      <w:pPr>
        <w:widowControl w:val="0"/>
        <w:numPr>
          <w:ilvl w:val="2"/>
          <w:numId w:val="4"/>
        </w:numPr>
        <w:tabs>
          <w:tab w:val="left" w:pos="426"/>
        </w:tabs>
        <w:spacing w:before="60" w:after="100" w:line="240" w:lineRule="auto"/>
        <w:outlineLvl w:val="0"/>
        <w:rPr>
          <w:rFonts w:ascii="Times New Roman" w:hAnsi="Times New Roman"/>
          <w:sz w:val="24"/>
          <w:szCs w:val="24"/>
        </w:rPr>
      </w:pPr>
      <w:r>
        <w:rPr>
          <w:rFonts w:ascii="Times New Roman" w:hAnsi="Times New Roman"/>
          <w:sz w:val="24"/>
          <w:szCs w:val="24"/>
        </w:rPr>
        <w:t xml:space="preserve">Датой прекращения обязательств по возмещению за счет имущества, составляющего Фонд, собственных денежных средств Управляющей компании Фонда является дата возврата суммы задолженности Управляющей компании согласно банковской выписке. </w:t>
      </w:r>
    </w:p>
    <w:p w14:paraId="57DBA0E5" w14:textId="77777777" w:rsidR="000C1E0E" w:rsidRDefault="000C1E0E" w:rsidP="000C1E0E">
      <w:pPr>
        <w:widowControl w:val="0"/>
        <w:numPr>
          <w:ilvl w:val="2"/>
          <w:numId w:val="4"/>
        </w:numPr>
        <w:tabs>
          <w:tab w:val="left" w:pos="426"/>
        </w:tabs>
        <w:spacing w:before="60" w:after="100" w:line="240" w:lineRule="auto"/>
        <w:outlineLvl w:val="0"/>
        <w:rPr>
          <w:rFonts w:ascii="Times New Roman" w:hAnsi="Times New Roman"/>
          <w:sz w:val="24"/>
          <w:szCs w:val="24"/>
        </w:rPr>
      </w:pPr>
      <w:r>
        <w:rPr>
          <w:rFonts w:ascii="Times New Roman" w:hAnsi="Times New Roman"/>
          <w:sz w:val="24"/>
          <w:szCs w:val="24"/>
        </w:rPr>
        <w:t xml:space="preserve"> Обязательства по выплате вознаграждения Управляющей компании, специализированному депозитарию, лицу, осуществляющему ведение реестра владельцев инвестиционных паев Фонда, признаются в последний рабочий день календарного месяца в размере, определенном в соответствии с условиями договора или в соответствии с Правилами ДУ ПИФ. В случае, если нельзя определить размер обязательства из условий договора - со дня получения Управляющей компанией счета на оплату оказанных услуг (со дня получения подписанного акта выполненных работ (оказанных услуг).</w:t>
      </w:r>
    </w:p>
    <w:p w14:paraId="1FB861E3" w14:textId="77777777" w:rsidR="000C1E0E" w:rsidRDefault="000C1E0E" w:rsidP="000C1E0E">
      <w:pPr>
        <w:widowControl w:val="0"/>
        <w:tabs>
          <w:tab w:val="left" w:pos="426"/>
        </w:tabs>
        <w:spacing w:before="60" w:after="100" w:line="240" w:lineRule="auto"/>
        <w:ind w:left="720"/>
        <w:outlineLvl w:val="0"/>
        <w:rPr>
          <w:rFonts w:ascii="Times New Roman" w:hAnsi="Times New Roman"/>
          <w:sz w:val="24"/>
          <w:szCs w:val="24"/>
        </w:rPr>
      </w:pPr>
      <w:r>
        <w:rPr>
          <w:rFonts w:ascii="Times New Roman" w:hAnsi="Times New Roman"/>
          <w:sz w:val="24"/>
          <w:szCs w:val="24"/>
        </w:rPr>
        <w:t>При прекращении договора между Управляющей компанией, специализированным депозитарием, лицом, осуществляющим ведение реестра владельцев инвестиционных паев Фонда, аудитором, при передаче прав и обязанностей другой управляющей компании, при обмене всех инвестиционных паев по решению Управляющей компании, обязательства по выплате вознаграждений указанным лицам признаются в соответствии с условиями договоров (соглашений) и Правилами ДУ ПИФ.  </w:t>
      </w:r>
    </w:p>
    <w:p w14:paraId="7F8FFC21" w14:textId="77777777" w:rsidR="000C1E0E" w:rsidRDefault="000C1E0E" w:rsidP="000C1E0E">
      <w:pPr>
        <w:widowControl w:val="0"/>
        <w:tabs>
          <w:tab w:val="left" w:pos="426"/>
        </w:tabs>
        <w:spacing w:before="60" w:after="100" w:line="240" w:lineRule="auto"/>
        <w:ind w:left="720"/>
        <w:outlineLvl w:val="0"/>
        <w:rPr>
          <w:rFonts w:ascii="Times New Roman" w:hAnsi="Times New Roman"/>
          <w:sz w:val="24"/>
          <w:szCs w:val="24"/>
        </w:rPr>
      </w:pPr>
      <w:r>
        <w:rPr>
          <w:rFonts w:ascii="Times New Roman" w:hAnsi="Times New Roman"/>
          <w:sz w:val="24"/>
          <w:szCs w:val="24"/>
        </w:rPr>
        <w:t>Обязательства по выплате вознаграждения аудитору, признаются со дня получения Управляющей компанией подписанного акта выполненных работ (оказанных услуг). Обязательства по оплате прочих расходов, осуществляемых за счет имущества Фонда в соответствии с требованиями действующего законодательства, признаются со дня получения счета на оплату оказанных услуг или подписанного акта выполненных работ (оказанных услуг).</w:t>
      </w:r>
    </w:p>
    <w:p w14:paraId="51C886CE" w14:textId="77777777" w:rsidR="000C1E0E" w:rsidRDefault="000C1E0E" w:rsidP="000C1E0E">
      <w:pPr>
        <w:widowControl w:val="0"/>
        <w:numPr>
          <w:ilvl w:val="2"/>
          <w:numId w:val="4"/>
        </w:numPr>
        <w:tabs>
          <w:tab w:val="left" w:pos="426"/>
        </w:tabs>
        <w:spacing w:before="60" w:after="100" w:line="240" w:lineRule="auto"/>
        <w:outlineLvl w:val="0"/>
        <w:rPr>
          <w:rFonts w:ascii="Times New Roman" w:hAnsi="Times New Roman"/>
          <w:sz w:val="24"/>
          <w:szCs w:val="24"/>
        </w:rPr>
      </w:pPr>
      <w:r>
        <w:rPr>
          <w:rFonts w:ascii="Times New Roman" w:hAnsi="Times New Roman"/>
          <w:sz w:val="24"/>
          <w:szCs w:val="24"/>
        </w:rPr>
        <w:t>Датой прекращения указанных в п. 2.17.8 обязательств является дата перечисления суммы вознаграждений и расходов с расчетного счета Фонда согласно банковской выписке.</w:t>
      </w:r>
    </w:p>
    <w:p w14:paraId="14E8809A" w14:textId="77777777" w:rsidR="000C1E0E" w:rsidRDefault="000C1E0E" w:rsidP="000C1E0E">
      <w:pPr>
        <w:widowControl w:val="0"/>
        <w:numPr>
          <w:ilvl w:val="2"/>
          <w:numId w:val="4"/>
        </w:numPr>
        <w:tabs>
          <w:tab w:val="left" w:pos="426"/>
        </w:tabs>
        <w:spacing w:before="60" w:after="100" w:line="240" w:lineRule="auto"/>
        <w:outlineLvl w:val="0"/>
        <w:rPr>
          <w:rFonts w:ascii="Times New Roman" w:hAnsi="Times New Roman"/>
          <w:sz w:val="24"/>
          <w:szCs w:val="24"/>
        </w:rPr>
      </w:pPr>
      <w:r>
        <w:rPr>
          <w:rFonts w:ascii="Times New Roman" w:hAnsi="Times New Roman"/>
          <w:sz w:val="24"/>
          <w:szCs w:val="24"/>
        </w:rPr>
        <w:t>Обязательства по уплате сумм скидок (надбавок) агентам по выдаче, погашению и обмену инвестиционных паев, а также Управляющей компании Фонда, признаются со дня осуществления операции выдачи и (или) погашения паев в реестре инвестиционных паев Фонда по заявке. Датой прекращения таких обязательств является дата перечисления суммы скидок/надбавок с расчетного счета Фонда согласно банковской выписке.</w:t>
      </w:r>
    </w:p>
    <w:p w14:paraId="369A5FC6" w14:textId="77777777" w:rsidR="000C1E0E" w:rsidRDefault="000C1E0E" w:rsidP="000C1E0E">
      <w:pPr>
        <w:widowControl w:val="0"/>
        <w:numPr>
          <w:ilvl w:val="2"/>
          <w:numId w:val="4"/>
        </w:numPr>
        <w:tabs>
          <w:tab w:val="left" w:pos="426"/>
        </w:tabs>
        <w:spacing w:before="60" w:after="100" w:line="240" w:lineRule="auto"/>
        <w:outlineLvl w:val="0"/>
        <w:rPr>
          <w:rFonts w:ascii="Times New Roman" w:hAnsi="Times New Roman"/>
          <w:sz w:val="24"/>
          <w:szCs w:val="24"/>
        </w:rPr>
      </w:pPr>
      <w:r>
        <w:rPr>
          <w:rFonts w:ascii="Times New Roman" w:hAnsi="Times New Roman"/>
          <w:sz w:val="24"/>
          <w:szCs w:val="24"/>
        </w:rPr>
        <w:t xml:space="preserve">Резерв на выплату вознаграждений, определенный исходя из размера вознаграждения, предусмотренного Правилами доверительного управления Фондом, признается нарастающим итогом в течение календарного года и отражается в составе обязательств Фонда на каждую дату определения СЧА предусмотренную настоящими Правилами определения СЧА. </w:t>
      </w:r>
    </w:p>
    <w:p w14:paraId="5B5901E0" w14:textId="77777777" w:rsidR="000C1E0E" w:rsidRDefault="000C1E0E" w:rsidP="000C1E0E">
      <w:pPr>
        <w:widowControl w:val="0"/>
        <w:numPr>
          <w:ilvl w:val="2"/>
          <w:numId w:val="4"/>
        </w:numPr>
        <w:tabs>
          <w:tab w:val="left" w:pos="426"/>
        </w:tabs>
        <w:spacing w:before="60" w:after="100" w:line="240" w:lineRule="auto"/>
        <w:outlineLvl w:val="0"/>
        <w:rPr>
          <w:rFonts w:ascii="Times New Roman" w:hAnsi="Times New Roman"/>
          <w:sz w:val="24"/>
          <w:szCs w:val="24"/>
        </w:rPr>
      </w:pPr>
      <w:r>
        <w:rPr>
          <w:rFonts w:ascii="Times New Roman" w:hAnsi="Times New Roman"/>
          <w:sz w:val="24"/>
          <w:szCs w:val="24"/>
        </w:rPr>
        <w:t>Датой прекращения признания обязательств по резерву на выплату вознаграждения является:</w:t>
      </w:r>
    </w:p>
    <w:p w14:paraId="00A9CB24" w14:textId="77777777" w:rsidR="000C1E0E" w:rsidRDefault="000C1E0E" w:rsidP="000C1E0E">
      <w:pPr>
        <w:widowControl w:val="0"/>
        <w:tabs>
          <w:tab w:val="left" w:pos="426"/>
        </w:tabs>
        <w:spacing w:before="60" w:after="100" w:line="240" w:lineRule="auto"/>
        <w:ind w:left="720"/>
        <w:outlineLvl w:val="0"/>
        <w:rPr>
          <w:rFonts w:ascii="Times New Roman" w:hAnsi="Times New Roman"/>
          <w:sz w:val="24"/>
          <w:szCs w:val="24"/>
        </w:rPr>
      </w:pPr>
      <w:r>
        <w:rPr>
          <w:rFonts w:ascii="Times New Roman" w:hAnsi="Times New Roman"/>
          <w:sz w:val="24"/>
          <w:szCs w:val="24"/>
        </w:rPr>
        <w:t>-дата полного использования резерва на выплату вознаграждения;</w:t>
      </w:r>
    </w:p>
    <w:p w14:paraId="0CE2D29D" w14:textId="77777777" w:rsidR="000C1E0E" w:rsidRDefault="000C1E0E" w:rsidP="000C1E0E">
      <w:pPr>
        <w:widowControl w:val="0"/>
        <w:tabs>
          <w:tab w:val="left" w:pos="426"/>
        </w:tabs>
        <w:spacing w:before="60" w:after="100" w:line="240" w:lineRule="auto"/>
        <w:ind w:left="720"/>
        <w:outlineLvl w:val="0"/>
        <w:rPr>
          <w:rFonts w:ascii="Times New Roman" w:hAnsi="Times New Roman"/>
          <w:bCs/>
          <w:kern w:val="32"/>
          <w:sz w:val="24"/>
          <w:szCs w:val="24"/>
        </w:rPr>
      </w:pPr>
      <w:r>
        <w:rPr>
          <w:rFonts w:ascii="Times New Roman" w:hAnsi="Times New Roman"/>
          <w:sz w:val="24"/>
          <w:szCs w:val="24"/>
        </w:rPr>
        <w:t xml:space="preserve">–дата по окончании отчетного года, на которую происходит восстановление неизрасходованного в течение отчетного года резерва. </w:t>
      </w:r>
      <w:r>
        <w:rPr>
          <w:rFonts w:ascii="Times New Roman" w:hAnsi="Times New Roman"/>
          <w:bCs/>
          <w:kern w:val="32"/>
          <w:sz w:val="24"/>
          <w:szCs w:val="24"/>
        </w:rPr>
        <w:t xml:space="preserve"> </w:t>
      </w:r>
    </w:p>
    <w:p w14:paraId="74B67CCB" w14:textId="77777777" w:rsidR="000C1E0E" w:rsidRDefault="000C1E0E" w:rsidP="000C1E0E">
      <w:pPr>
        <w:widowControl w:val="0"/>
        <w:numPr>
          <w:ilvl w:val="0"/>
          <w:numId w:val="4"/>
        </w:numPr>
        <w:spacing w:before="240" w:after="60" w:line="240" w:lineRule="auto"/>
        <w:outlineLvl w:val="0"/>
        <w:rPr>
          <w:rFonts w:ascii="Times New Roman" w:hAnsi="Times New Roman"/>
          <w:b/>
          <w:bCs/>
          <w:kern w:val="32"/>
          <w:sz w:val="24"/>
          <w:szCs w:val="24"/>
        </w:rPr>
      </w:pPr>
      <w:r>
        <w:rPr>
          <w:rFonts w:ascii="Times New Roman" w:hAnsi="Times New Roman"/>
          <w:b/>
          <w:bCs/>
          <w:kern w:val="32"/>
          <w:sz w:val="24"/>
          <w:szCs w:val="24"/>
        </w:rPr>
        <w:t>МЕТОДЫ ОПРЕДЕЛЕНИЯ СТОИМОСТИ АКТИВОВ И ВЕЛИЧИН ОБЯЗАТЕЛЬСТВ, В ТОМ ЧИСЛЕ ОПИСАНИЕ ИСТОЧНИКОВ ДАННЫХ ДЛЯ ОПРЕДЕЛЕНИЯ СТОИМОСТИ АКТИВОВ (ВЕЛИЧИНЫ ОБЯЗАТЕЛЬСТВ), ПОРЯДКА ИХ ВЫБОРА, ПОРЯДКА КОНВЕРТАЦИИ ВЕЛИЧИН СТОИМОСТЕЙ, ВЫРАЖЕННЫХ В ОДНОЙ ВАЛЮТЕ, В ДРУГУЮ ВАЛЮТУ, ПОРЯДКА ПРИЗНАНИЯ РЫНКОВ АКТИВОВ И ОБЯЗАТЕЛЬСТВ АКТИВНЫМИ, КРИТЕРИИ ВЫБОРА СПОСОБОВ И МОДЕЛЕЙ ОЦЕНКИ СТОИМОСТИ В ЗАВИСИМОСТИ ОТ ВИДОВ АКТИВОВ И ОБЯЗАТЕЛЬСТВ, А ТАКЖЕ ПЕРЕЧЕНЬ АКТИВОВ, ПОДЛЕЖАЩИХ ОЦЕНКЕ ОЦЕНЩИКОМ, И ПЕРИОДИЧНОСТЬ ПРОВЕДЕНИЯ ТАКОЙ ОЦЕНКИ</w:t>
      </w:r>
    </w:p>
    <w:p w14:paraId="17DE6016" w14:textId="77777777" w:rsidR="000C1E0E" w:rsidRDefault="000C1E0E" w:rsidP="000C1E0E">
      <w:pPr>
        <w:widowControl w:val="0"/>
        <w:numPr>
          <w:ilvl w:val="1"/>
          <w:numId w:val="4"/>
        </w:numPr>
        <w:spacing w:before="60" w:after="60" w:line="240" w:lineRule="auto"/>
        <w:outlineLvl w:val="1"/>
        <w:rPr>
          <w:rFonts w:ascii="Times New Roman" w:hAnsi="Times New Roman"/>
          <w:sz w:val="24"/>
          <w:szCs w:val="24"/>
        </w:rPr>
      </w:pPr>
      <w:r>
        <w:rPr>
          <w:rFonts w:ascii="Times New Roman" w:hAnsi="Times New Roman"/>
          <w:sz w:val="24"/>
          <w:szCs w:val="24"/>
        </w:rPr>
        <w:t>Стоимость активов и величина обязательств определяются по справедливой стоимости в соответствии с Международным стандартом финансовой отчетности (IFRS) 13 «Оценка справедливой стоимости», введенным в действие на территории Российской Федерации приказом Министерства финансов Российской Федерации от 28.12.2015 № 217н «О введении Международных стандартов финансовой отчетности и Разъяснений Международных стандартов финансовой отчетности в действие на территории Российской Федерации и о признании утратившими силу некоторых приказов (отдельных положений приказов) Министерства финансов Российской Федерации».</w:t>
      </w:r>
    </w:p>
    <w:p w14:paraId="4918F01A" w14:textId="77777777" w:rsidR="000C1E0E" w:rsidRDefault="000C1E0E" w:rsidP="000C1E0E">
      <w:pPr>
        <w:widowControl w:val="0"/>
        <w:numPr>
          <w:ilvl w:val="1"/>
          <w:numId w:val="4"/>
        </w:numPr>
        <w:spacing w:before="60" w:after="60" w:line="240" w:lineRule="auto"/>
        <w:outlineLvl w:val="1"/>
        <w:rPr>
          <w:rFonts w:ascii="Times New Roman" w:hAnsi="Times New Roman"/>
          <w:sz w:val="24"/>
          <w:szCs w:val="24"/>
        </w:rPr>
      </w:pPr>
      <w:r>
        <w:rPr>
          <w:rFonts w:ascii="Times New Roman" w:hAnsi="Times New Roman"/>
          <w:sz w:val="24"/>
          <w:szCs w:val="24"/>
        </w:rPr>
        <w:t>Справедливая стоимость – это цена, которая может быть получена при продаже актива или уплачена при передаче обязательства при проведении операции на добровольной основе на основном (или наиболее выгодном) рынке на дату оценки в текущих рыночных условиях.</w:t>
      </w:r>
    </w:p>
    <w:p w14:paraId="5CBFF38E" w14:textId="77777777" w:rsidR="000C1E0E" w:rsidRDefault="000C1E0E" w:rsidP="000C1E0E">
      <w:pPr>
        <w:widowControl w:val="0"/>
        <w:numPr>
          <w:ilvl w:val="1"/>
          <w:numId w:val="4"/>
        </w:numPr>
        <w:spacing w:before="60" w:after="60" w:line="240" w:lineRule="auto"/>
        <w:outlineLvl w:val="1"/>
        <w:rPr>
          <w:rFonts w:ascii="Times New Roman" w:hAnsi="Times New Roman"/>
          <w:sz w:val="24"/>
          <w:szCs w:val="24"/>
        </w:rPr>
      </w:pPr>
      <w:r>
        <w:rPr>
          <w:rFonts w:ascii="Times New Roman" w:hAnsi="Times New Roman"/>
          <w:sz w:val="24"/>
          <w:szCs w:val="24"/>
        </w:rPr>
        <w:t>Справедливая стоимость актива определяется без учета затрат по сделке и налогов, включенных в стоимость сделки.</w:t>
      </w:r>
    </w:p>
    <w:p w14:paraId="4AEF6DD2" w14:textId="77777777" w:rsidR="000C1E0E" w:rsidRDefault="000C1E0E" w:rsidP="000C1E0E">
      <w:pPr>
        <w:widowControl w:val="0"/>
        <w:numPr>
          <w:ilvl w:val="1"/>
          <w:numId w:val="4"/>
        </w:numPr>
        <w:spacing w:before="60" w:after="60" w:line="240" w:lineRule="auto"/>
        <w:outlineLvl w:val="1"/>
        <w:rPr>
          <w:rFonts w:ascii="Times New Roman" w:hAnsi="Times New Roman"/>
          <w:sz w:val="24"/>
          <w:szCs w:val="24"/>
        </w:rPr>
      </w:pPr>
      <w:r>
        <w:rPr>
          <w:rFonts w:ascii="Times New Roman" w:hAnsi="Times New Roman"/>
          <w:sz w:val="24"/>
          <w:szCs w:val="24"/>
        </w:rPr>
        <w:t>Справедливая стоимость может быть достоверно определена при следующих условиях:</w:t>
      </w:r>
    </w:p>
    <w:p w14:paraId="5E54E5F5" w14:textId="77777777" w:rsidR="000C1E0E" w:rsidRDefault="000C1E0E" w:rsidP="000C1E0E">
      <w:pPr>
        <w:spacing w:before="60" w:after="60" w:line="240" w:lineRule="auto"/>
        <w:ind w:left="709"/>
        <w:outlineLvl w:val="1"/>
        <w:rPr>
          <w:rFonts w:ascii="Times New Roman" w:hAnsi="Times New Roman"/>
          <w:sz w:val="24"/>
          <w:szCs w:val="24"/>
        </w:rPr>
      </w:pPr>
      <w:r>
        <w:rPr>
          <w:rFonts w:ascii="Times New Roman" w:hAnsi="Times New Roman"/>
          <w:sz w:val="24"/>
          <w:szCs w:val="24"/>
        </w:rPr>
        <w:t>- котировка финансового инструмента публикуется на основном или наиболее выгодном рынке данного инструмента;</w:t>
      </w:r>
    </w:p>
    <w:p w14:paraId="7A06CB95" w14:textId="77777777" w:rsidR="000C1E0E" w:rsidRDefault="000C1E0E" w:rsidP="000C1E0E">
      <w:pPr>
        <w:spacing w:before="60" w:after="60" w:line="240" w:lineRule="auto"/>
        <w:ind w:left="709"/>
        <w:outlineLvl w:val="1"/>
        <w:rPr>
          <w:rFonts w:ascii="Times New Roman" w:hAnsi="Times New Roman"/>
          <w:sz w:val="24"/>
          <w:szCs w:val="24"/>
        </w:rPr>
      </w:pPr>
      <w:r>
        <w:rPr>
          <w:rFonts w:ascii="Times New Roman" w:hAnsi="Times New Roman"/>
          <w:sz w:val="24"/>
          <w:szCs w:val="24"/>
        </w:rPr>
        <w:t>- денежные потоки в отношении долгового инструмента можно обоснованно рассчитать;</w:t>
      </w:r>
    </w:p>
    <w:p w14:paraId="71BCFC53" w14:textId="77777777" w:rsidR="000C1E0E" w:rsidRDefault="000C1E0E" w:rsidP="000C1E0E">
      <w:pPr>
        <w:spacing w:before="60" w:after="60" w:line="240" w:lineRule="auto"/>
        <w:ind w:left="709"/>
        <w:outlineLvl w:val="1"/>
        <w:rPr>
          <w:rFonts w:ascii="Times New Roman" w:hAnsi="Times New Roman"/>
          <w:sz w:val="24"/>
          <w:szCs w:val="24"/>
        </w:rPr>
      </w:pPr>
      <w:r>
        <w:rPr>
          <w:rFonts w:ascii="Times New Roman" w:hAnsi="Times New Roman"/>
          <w:sz w:val="24"/>
          <w:szCs w:val="24"/>
        </w:rPr>
        <w:t>- существует модель оценки, исходные данные для которой можно оценить достоверно.</w:t>
      </w:r>
    </w:p>
    <w:p w14:paraId="7A28FD40" w14:textId="77777777" w:rsidR="000C1E0E" w:rsidRDefault="000C1E0E" w:rsidP="000C1E0E">
      <w:pPr>
        <w:widowControl w:val="0"/>
        <w:numPr>
          <w:ilvl w:val="1"/>
          <w:numId w:val="4"/>
        </w:numPr>
        <w:spacing w:before="60" w:after="60" w:line="240" w:lineRule="auto"/>
        <w:outlineLvl w:val="1"/>
        <w:rPr>
          <w:rFonts w:ascii="Times New Roman" w:hAnsi="Times New Roman"/>
          <w:sz w:val="24"/>
          <w:szCs w:val="24"/>
        </w:rPr>
      </w:pPr>
      <w:r>
        <w:rPr>
          <w:rFonts w:ascii="Times New Roman" w:hAnsi="Times New Roman"/>
          <w:sz w:val="24"/>
          <w:szCs w:val="24"/>
        </w:rPr>
        <w:t xml:space="preserve">Активный рынок - рынок, на котором операции с активом или обязательством проводятся с достаточной частотой и в достаточном объеме, позволяющем получать информацию об оценках активов и обязательств на постоянной основе. </w:t>
      </w:r>
    </w:p>
    <w:p w14:paraId="11887F42" w14:textId="77777777" w:rsidR="000C1E0E" w:rsidRDefault="000C1E0E" w:rsidP="000C1E0E">
      <w:pPr>
        <w:widowControl w:val="0"/>
        <w:numPr>
          <w:ilvl w:val="1"/>
          <w:numId w:val="4"/>
        </w:numPr>
        <w:spacing w:before="60" w:after="60" w:line="240" w:lineRule="auto"/>
        <w:outlineLvl w:val="1"/>
        <w:rPr>
          <w:rFonts w:ascii="Times New Roman" w:hAnsi="Times New Roman"/>
          <w:sz w:val="24"/>
          <w:szCs w:val="24"/>
        </w:rPr>
      </w:pPr>
      <w:r>
        <w:rPr>
          <w:rFonts w:ascii="Times New Roman" w:hAnsi="Times New Roman"/>
          <w:sz w:val="24"/>
          <w:szCs w:val="24"/>
        </w:rPr>
        <w:t>Основной рынок – рынок (из числа активных) с наибольшим для соответствующего актива или обязательства объемом торгов и уровнем активности. Рынок, на котором Управляющая компания вступила бы в сделку по продаже актива или передаче обязательства, считается основным рынком или, при отсутствии основного рынка, наиболее выгодным рынком.</w:t>
      </w:r>
    </w:p>
    <w:p w14:paraId="3C86B5F5" w14:textId="77777777" w:rsidR="000C1E0E" w:rsidRDefault="000C1E0E" w:rsidP="000C1E0E">
      <w:pPr>
        <w:widowControl w:val="0"/>
        <w:numPr>
          <w:ilvl w:val="1"/>
          <w:numId w:val="4"/>
        </w:numPr>
        <w:spacing w:before="60" w:after="60" w:line="240" w:lineRule="auto"/>
        <w:outlineLvl w:val="1"/>
        <w:rPr>
          <w:rFonts w:ascii="Times New Roman" w:hAnsi="Times New Roman"/>
          <w:b/>
          <w:sz w:val="24"/>
          <w:szCs w:val="24"/>
        </w:rPr>
      </w:pPr>
      <w:r>
        <w:rPr>
          <w:rFonts w:ascii="Times New Roman" w:hAnsi="Times New Roman"/>
          <w:b/>
          <w:sz w:val="24"/>
          <w:szCs w:val="24"/>
        </w:rPr>
        <w:t>Критерии выбора активного рынка.</w:t>
      </w:r>
    </w:p>
    <w:p w14:paraId="16FF4D93" w14:textId="77777777" w:rsidR="000C1E0E" w:rsidRDefault="000C1E0E" w:rsidP="000C1E0E">
      <w:pPr>
        <w:widowControl w:val="0"/>
        <w:numPr>
          <w:ilvl w:val="2"/>
          <w:numId w:val="4"/>
        </w:numPr>
        <w:spacing w:before="60" w:after="60" w:line="240" w:lineRule="auto"/>
        <w:outlineLvl w:val="1"/>
        <w:rPr>
          <w:rFonts w:ascii="Times New Roman" w:hAnsi="Times New Roman"/>
          <w:sz w:val="24"/>
          <w:szCs w:val="24"/>
        </w:rPr>
      </w:pPr>
      <w:r>
        <w:rPr>
          <w:rFonts w:ascii="Times New Roman" w:hAnsi="Times New Roman"/>
          <w:sz w:val="24"/>
          <w:szCs w:val="24"/>
        </w:rPr>
        <w:t xml:space="preserve">Активным рынком для ценных бумаг, допущенных к торгам на российской или иностранной бирже, (за исключением облигаций внешних облигационных займов Российской Федерации; долговых ценных бумаг иностранных государств; еврооблигаций иностранных эмитентов,; ценных бумаг международных финансовых организаций) признается доступная и наблюдаемая биржевая площадка из списка, установленного п. 3.7.2. настоящих Правил определения СЧА, в случае наличия цены на дату определения справедливой стоимости </w:t>
      </w:r>
      <w:r>
        <w:rPr>
          <w:rFonts w:eastAsia="Batang"/>
          <w:sz w:val="24"/>
          <w:szCs w:val="24"/>
        </w:rPr>
        <w:t xml:space="preserve">(в случае, если на всех доступных и наблюдаемых биржевых площадках был неторговый день на дату определения СЧА – анализируются данные последнего торгового дня на данных площадках) </w:t>
      </w:r>
      <w:r>
        <w:rPr>
          <w:rFonts w:ascii="Times New Roman" w:hAnsi="Times New Roman"/>
          <w:sz w:val="24"/>
          <w:szCs w:val="24"/>
        </w:rPr>
        <w:t xml:space="preserve">и соответствия одновременно следующим критериям на дату определения СЧА: </w:t>
      </w:r>
    </w:p>
    <w:p w14:paraId="5B4FC483" w14:textId="77777777" w:rsidR="000C1E0E" w:rsidRDefault="000C1E0E" w:rsidP="000C1E0E">
      <w:pPr>
        <w:spacing w:before="60" w:after="60" w:line="240" w:lineRule="auto"/>
        <w:ind w:left="709"/>
        <w:outlineLvl w:val="1"/>
        <w:rPr>
          <w:rFonts w:ascii="Times New Roman" w:hAnsi="Times New Roman"/>
          <w:sz w:val="24"/>
          <w:szCs w:val="24"/>
        </w:rPr>
      </w:pPr>
      <w:r>
        <w:rPr>
          <w:rFonts w:ascii="Times New Roman" w:hAnsi="Times New Roman"/>
          <w:sz w:val="24"/>
          <w:szCs w:val="24"/>
        </w:rPr>
        <w:t>- количество сделок за последние 10 торговых дней - 10 и более;</w:t>
      </w:r>
    </w:p>
    <w:p w14:paraId="1E32B3B4" w14:textId="77777777" w:rsidR="000C1E0E" w:rsidRDefault="000C1E0E" w:rsidP="000C1E0E">
      <w:pPr>
        <w:spacing w:before="60" w:after="60" w:line="240" w:lineRule="auto"/>
        <w:ind w:left="709"/>
        <w:outlineLvl w:val="1"/>
        <w:rPr>
          <w:rFonts w:ascii="Times New Roman" w:hAnsi="Times New Roman"/>
          <w:sz w:val="24"/>
          <w:szCs w:val="24"/>
        </w:rPr>
      </w:pPr>
      <w:r>
        <w:rPr>
          <w:rFonts w:ascii="Times New Roman" w:hAnsi="Times New Roman"/>
          <w:sz w:val="24"/>
          <w:szCs w:val="24"/>
        </w:rPr>
        <w:t>- совокупный объем сделок за последние 10 торговых дней превысил 500 000 рублей (или соответствующий рублевый эквивалент по курсу иностранной валюты, представленный в информационной системе Bloomberg (курс Bloomberg BGN)).</w:t>
      </w:r>
    </w:p>
    <w:p w14:paraId="1A24B944" w14:textId="77777777" w:rsidR="000C1E0E" w:rsidRDefault="000C1E0E" w:rsidP="000C1E0E">
      <w:pPr>
        <w:widowControl w:val="0"/>
        <w:numPr>
          <w:ilvl w:val="2"/>
          <w:numId w:val="4"/>
        </w:numPr>
        <w:spacing w:before="60" w:after="60" w:line="240" w:lineRule="auto"/>
        <w:outlineLvl w:val="1"/>
        <w:rPr>
          <w:rFonts w:ascii="Times New Roman" w:hAnsi="Times New Roman"/>
          <w:sz w:val="24"/>
          <w:szCs w:val="24"/>
        </w:rPr>
      </w:pPr>
      <w:r>
        <w:rPr>
          <w:rFonts w:ascii="Times New Roman" w:hAnsi="Times New Roman"/>
          <w:sz w:val="24"/>
          <w:szCs w:val="24"/>
        </w:rPr>
        <w:t>Список биржевых площадок:</w:t>
      </w:r>
    </w:p>
    <w:p w14:paraId="0DE41403" w14:textId="77777777" w:rsidR="000C1E0E" w:rsidRDefault="000C1E0E" w:rsidP="000C1E0E">
      <w:pPr>
        <w:autoSpaceDE w:val="0"/>
        <w:autoSpaceDN w:val="0"/>
        <w:adjustRightInd w:val="0"/>
        <w:spacing w:line="240" w:lineRule="auto"/>
        <w:ind w:firstLine="567"/>
        <w:rPr>
          <w:rFonts w:ascii="Times New Roman" w:hAnsi="Times New Roman"/>
          <w:sz w:val="24"/>
          <w:szCs w:val="24"/>
        </w:rPr>
      </w:pPr>
      <w:r>
        <w:rPr>
          <w:rFonts w:ascii="Times New Roman" w:hAnsi="Times New Roman"/>
          <w:sz w:val="24"/>
          <w:szCs w:val="24"/>
        </w:rPr>
        <w:t>- ПАО Московская Биржа;</w:t>
      </w:r>
    </w:p>
    <w:p w14:paraId="01E0744F" w14:textId="77777777" w:rsidR="000C1E0E" w:rsidRDefault="000C1E0E" w:rsidP="000C1E0E">
      <w:pPr>
        <w:autoSpaceDE w:val="0"/>
        <w:autoSpaceDN w:val="0"/>
        <w:adjustRightInd w:val="0"/>
        <w:spacing w:line="240" w:lineRule="auto"/>
        <w:ind w:firstLine="567"/>
        <w:rPr>
          <w:rFonts w:ascii="Times New Roman" w:hAnsi="Times New Roman"/>
          <w:sz w:val="24"/>
          <w:szCs w:val="24"/>
          <w:lang w:val="en-US"/>
        </w:rPr>
      </w:pPr>
      <w:r>
        <w:rPr>
          <w:rFonts w:ascii="Times New Roman" w:hAnsi="Times New Roman"/>
          <w:sz w:val="24"/>
          <w:szCs w:val="24"/>
          <w:lang w:val="en-US"/>
        </w:rPr>
        <w:t xml:space="preserve">- </w:t>
      </w:r>
      <w:r>
        <w:rPr>
          <w:rFonts w:ascii="Times New Roman" w:hAnsi="Times New Roman"/>
          <w:sz w:val="24"/>
          <w:szCs w:val="24"/>
        </w:rPr>
        <w:t>Нью</w:t>
      </w:r>
      <w:r>
        <w:rPr>
          <w:rFonts w:ascii="Times New Roman" w:hAnsi="Times New Roman"/>
          <w:sz w:val="24"/>
          <w:szCs w:val="24"/>
          <w:lang w:val="en-US"/>
        </w:rPr>
        <w:t>-</w:t>
      </w:r>
      <w:r>
        <w:rPr>
          <w:rFonts w:ascii="Times New Roman" w:hAnsi="Times New Roman"/>
          <w:sz w:val="24"/>
          <w:szCs w:val="24"/>
        </w:rPr>
        <w:t>Йоркская</w:t>
      </w:r>
      <w:r>
        <w:rPr>
          <w:rFonts w:ascii="Times New Roman" w:hAnsi="Times New Roman"/>
          <w:sz w:val="24"/>
          <w:szCs w:val="24"/>
          <w:lang w:val="en-US"/>
        </w:rPr>
        <w:t xml:space="preserve"> </w:t>
      </w:r>
      <w:r>
        <w:rPr>
          <w:rFonts w:ascii="Times New Roman" w:hAnsi="Times New Roman"/>
          <w:sz w:val="24"/>
          <w:szCs w:val="24"/>
        </w:rPr>
        <w:t>фондовая</w:t>
      </w:r>
      <w:r>
        <w:rPr>
          <w:rFonts w:ascii="Times New Roman" w:hAnsi="Times New Roman"/>
          <w:sz w:val="24"/>
          <w:szCs w:val="24"/>
          <w:lang w:val="en-US"/>
        </w:rPr>
        <w:t xml:space="preserve"> </w:t>
      </w:r>
      <w:r>
        <w:rPr>
          <w:rFonts w:ascii="Times New Roman" w:hAnsi="Times New Roman"/>
          <w:sz w:val="24"/>
          <w:szCs w:val="24"/>
        </w:rPr>
        <w:t>биржа</w:t>
      </w:r>
      <w:r>
        <w:rPr>
          <w:rFonts w:ascii="Times New Roman" w:hAnsi="Times New Roman"/>
          <w:sz w:val="24"/>
          <w:szCs w:val="24"/>
          <w:lang w:val="en-US"/>
        </w:rPr>
        <w:t xml:space="preserve"> (New York Stock Exchange);</w:t>
      </w:r>
    </w:p>
    <w:p w14:paraId="1ADABD8A" w14:textId="77777777" w:rsidR="000C1E0E" w:rsidRDefault="000C1E0E" w:rsidP="000C1E0E">
      <w:pPr>
        <w:autoSpaceDE w:val="0"/>
        <w:autoSpaceDN w:val="0"/>
        <w:adjustRightInd w:val="0"/>
        <w:spacing w:line="240" w:lineRule="auto"/>
        <w:ind w:firstLine="567"/>
        <w:rPr>
          <w:rFonts w:ascii="Times New Roman" w:hAnsi="Times New Roman"/>
          <w:sz w:val="24"/>
          <w:szCs w:val="24"/>
          <w:lang w:val="en-US"/>
        </w:rPr>
      </w:pPr>
      <w:r>
        <w:rPr>
          <w:rFonts w:ascii="Times New Roman" w:hAnsi="Times New Roman"/>
          <w:sz w:val="24"/>
          <w:szCs w:val="24"/>
          <w:lang w:val="en-US"/>
        </w:rPr>
        <w:t xml:space="preserve">- </w:t>
      </w:r>
      <w:r>
        <w:rPr>
          <w:rFonts w:ascii="Times New Roman" w:hAnsi="Times New Roman"/>
          <w:sz w:val="24"/>
          <w:szCs w:val="24"/>
        </w:rPr>
        <w:t>Лондонская</w:t>
      </w:r>
      <w:r>
        <w:rPr>
          <w:rFonts w:ascii="Times New Roman" w:hAnsi="Times New Roman"/>
          <w:sz w:val="24"/>
          <w:szCs w:val="24"/>
          <w:lang w:val="en-US"/>
        </w:rPr>
        <w:t xml:space="preserve"> </w:t>
      </w:r>
      <w:r>
        <w:rPr>
          <w:rFonts w:ascii="Times New Roman" w:hAnsi="Times New Roman"/>
          <w:sz w:val="24"/>
          <w:szCs w:val="24"/>
        </w:rPr>
        <w:t>фондовая</w:t>
      </w:r>
      <w:r>
        <w:rPr>
          <w:rFonts w:ascii="Times New Roman" w:hAnsi="Times New Roman"/>
          <w:sz w:val="24"/>
          <w:szCs w:val="24"/>
          <w:lang w:val="en-US"/>
        </w:rPr>
        <w:t xml:space="preserve"> </w:t>
      </w:r>
      <w:r>
        <w:rPr>
          <w:rFonts w:ascii="Times New Roman" w:hAnsi="Times New Roman"/>
          <w:sz w:val="24"/>
          <w:szCs w:val="24"/>
        </w:rPr>
        <w:t>биржа</w:t>
      </w:r>
      <w:r>
        <w:rPr>
          <w:rFonts w:ascii="Times New Roman" w:hAnsi="Times New Roman"/>
          <w:sz w:val="24"/>
          <w:szCs w:val="24"/>
          <w:lang w:val="en-US"/>
        </w:rPr>
        <w:t xml:space="preserve"> (London Stock Exchange); </w:t>
      </w:r>
    </w:p>
    <w:p w14:paraId="54A60B82" w14:textId="77777777" w:rsidR="000C1E0E" w:rsidRDefault="000C1E0E" w:rsidP="000C1E0E">
      <w:pPr>
        <w:autoSpaceDE w:val="0"/>
        <w:autoSpaceDN w:val="0"/>
        <w:adjustRightInd w:val="0"/>
        <w:spacing w:line="240" w:lineRule="auto"/>
        <w:ind w:firstLine="567"/>
        <w:rPr>
          <w:rFonts w:ascii="Times New Roman" w:hAnsi="Times New Roman"/>
          <w:sz w:val="24"/>
          <w:szCs w:val="24"/>
          <w:lang w:val="en-US"/>
        </w:rPr>
      </w:pPr>
      <w:r>
        <w:rPr>
          <w:rFonts w:ascii="Times New Roman" w:hAnsi="Times New Roman"/>
          <w:sz w:val="24"/>
          <w:szCs w:val="24"/>
          <w:lang w:val="en-US"/>
        </w:rPr>
        <w:t xml:space="preserve">- </w:t>
      </w:r>
      <w:r>
        <w:rPr>
          <w:rFonts w:ascii="Times New Roman" w:hAnsi="Times New Roman"/>
          <w:sz w:val="24"/>
          <w:szCs w:val="24"/>
        </w:rPr>
        <w:t>Фондовая</w:t>
      </w:r>
      <w:r>
        <w:rPr>
          <w:rFonts w:ascii="Times New Roman" w:hAnsi="Times New Roman"/>
          <w:sz w:val="24"/>
          <w:szCs w:val="24"/>
          <w:lang w:val="en-US"/>
        </w:rPr>
        <w:t xml:space="preserve"> </w:t>
      </w:r>
      <w:r>
        <w:rPr>
          <w:rFonts w:ascii="Times New Roman" w:hAnsi="Times New Roman"/>
          <w:sz w:val="24"/>
          <w:szCs w:val="24"/>
        </w:rPr>
        <w:t>биржа</w:t>
      </w:r>
      <w:r>
        <w:rPr>
          <w:rFonts w:ascii="Times New Roman" w:hAnsi="Times New Roman"/>
          <w:sz w:val="24"/>
          <w:szCs w:val="24"/>
          <w:lang w:val="en-US"/>
        </w:rPr>
        <w:t xml:space="preserve"> </w:t>
      </w:r>
      <w:r>
        <w:rPr>
          <w:rFonts w:ascii="Times New Roman" w:hAnsi="Times New Roman"/>
          <w:sz w:val="24"/>
          <w:szCs w:val="24"/>
        </w:rPr>
        <w:t>Насдак</w:t>
      </w:r>
      <w:r>
        <w:rPr>
          <w:rFonts w:ascii="Times New Roman" w:hAnsi="Times New Roman"/>
          <w:sz w:val="24"/>
          <w:szCs w:val="24"/>
          <w:lang w:val="en-US"/>
        </w:rPr>
        <w:t xml:space="preserve"> (The NASDAQ Stock Market);</w:t>
      </w:r>
    </w:p>
    <w:p w14:paraId="011469CD" w14:textId="77777777" w:rsidR="000C1E0E" w:rsidRDefault="000C1E0E" w:rsidP="000C1E0E">
      <w:pPr>
        <w:autoSpaceDE w:val="0"/>
        <w:autoSpaceDN w:val="0"/>
        <w:adjustRightInd w:val="0"/>
        <w:spacing w:line="240" w:lineRule="auto"/>
        <w:ind w:firstLine="567"/>
        <w:rPr>
          <w:rFonts w:ascii="Times New Roman" w:hAnsi="Times New Roman"/>
          <w:sz w:val="24"/>
          <w:szCs w:val="24"/>
          <w:lang w:val="en-US"/>
        </w:rPr>
      </w:pPr>
      <w:r>
        <w:rPr>
          <w:rFonts w:ascii="Times New Roman" w:hAnsi="Times New Roman"/>
          <w:sz w:val="24"/>
          <w:szCs w:val="24"/>
          <w:lang w:val="en-US"/>
        </w:rPr>
        <w:t xml:space="preserve">- </w:t>
      </w:r>
      <w:r>
        <w:rPr>
          <w:rFonts w:ascii="Times New Roman" w:hAnsi="Times New Roman"/>
          <w:sz w:val="24"/>
          <w:szCs w:val="24"/>
        </w:rPr>
        <w:t>Франкфуртская</w:t>
      </w:r>
      <w:r>
        <w:rPr>
          <w:rFonts w:ascii="Times New Roman" w:hAnsi="Times New Roman"/>
          <w:sz w:val="24"/>
          <w:szCs w:val="24"/>
          <w:lang w:val="en-US"/>
        </w:rPr>
        <w:t xml:space="preserve"> </w:t>
      </w:r>
      <w:r>
        <w:rPr>
          <w:rFonts w:ascii="Times New Roman" w:hAnsi="Times New Roman"/>
          <w:sz w:val="24"/>
          <w:szCs w:val="24"/>
        </w:rPr>
        <w:t>фондовая</w:t>
      </w:r>
      <w:r>
        <w:rPr>
          <w:rFonts w:ascii="Times New Roman" w:hAnsi="Times New Roman"/>
          <w:sz w:val="24"/>
          <w:szCs w:val="24"/>
          <w:lang w:val="en-US"/>
        </w:rPr>
        <w:t xml:space="preserve"> </w:t>
      </w:r>
      <w:r>
        <w:rPr>
          <w:rFonts w:ascii="Times New Roman" w:hAnsi="Times New Roman"/>
          <w:sz w:val="24"/>
          <w:szCs w:val="24"/>
        </w:rPr>
        <w:t>биржа</w:t>
      </w:r>
      <w:r>
        <w:rPr>
          <w:rFonts w:ascii="Times New Roman" w:hAnsi="Times New Roman"/>
          <w:sz w:val="24"/>
          <w:szCs w:val="24"/>
          <w:lang w:val="en-US"/>
        </w:rPr>
        <w:t xml:space="preserve"> (Frankfurt Stock Exchange);</w:t>
      </w:r>
    </w:p>
    <w:p w14:paraId="072B7C59" w14:textId="77777777" w:rsidR="000C1E0E" w:rsidRDefault="000C1E0E" w:rsidP="000C1E0E">
      <w:pPr>
        <w:autoSpaceDE w:val="0"/>
        <w:autoSpaceDN w:val="0"/>
        <w:adjustRightInd w:val="0"/>
        <w:spacing w:line="240" w:lineRule="auto"/>
        <w:ind w:firstLine="567"/>
        <w:rPr>
          <w:rFonts w:ascii="Times New Roman" w:hAnsi="Times New Roman"/>
          <w:sz w:val="24"/>
          <w:szCs w:val="24"/>
        </w:rPr>
      </w:pPr>
      <w:r>
        <w:rPr>
          <w:rFonts w:ascii="Times New Roman" w:hAnsi="Times New Roman"/>
          <w:sz w:val="24"/>
          <w:szCs w:val="24"/>
          <w:lang w:val="en-US"/>
        </w:rPr>
        <w:t xml:space="preserve"> </w:t>
      </w:r>
      <w:r>
        <w:rPr>
          <w:rFonts w:ascii="Times New Roman" w:hAnsi="Times New Roman"/>
          <w:sz w:val="24"/>
          <w:szCs w:val="24"/>
        </w:rPr>
        <w:t>- Американская Фондовая биржа (American Stock Exchange);</w:t>
      </w:r>
    </w:p>
    <w:p w14:paraId="2A4E0F84" w14:textId="77777777" w:rsidR="000C1E0E" w:rsidRDefault="000C1E0E" w:rsidP="000C1E0E">
      <w:pPr>
        <w:autoSpaceDE w:val="0"/>
        <w:autoSpaceDN w:val="0"/>
        <w:adjustRightInd w:val="0"/>
        <w:spacing w:line="240" w:lineRule="auto"/>
        <w:ind w:firstLine="567"/>
        <w:rPr>
          <w:rFonts w:ascii="Times New Roman" w:hAnsi="Times New Roman"/>
          <w:sz w:val="24"/>
          <w:szCs w:val="24"/>
        </w:rPr>
      </w:pPr>
      <w:r>
        <w:rPr>
          <w:rFonts w:ascii="Times New Roman" w:hAnsi="Times New Roman"/>
          <w:sz w:val="24"/>
          <w:szCs w:val="24"/>
        </w:rPr>
        <w:t xml:space="preserve"> - Гонконгская Фондовая биржа (Hong Kong Stock Exchange);</w:t>
      </w:r>
    </w:p>
    <w:p w14:paraId="0FB60E3D" w14:textId="77777777" w:rsidR="000C1E0E" w:rsidRDefault="000C1E0E" w:rsidP="000C1E0E">
      <w:pPr>
        <w:autoSpaceDE w:val="0"/>
        <w:autoSpaceDN w:val="0"/>
        <w:adjustRightInd w:val="0"/>
        <w:spacing w:line="240" w:lineRule="auto"/>
        <w:ind w:firstLine="567"/>
        <w:rPr>
          <w:rFonts w:ascii="Times New Roman" w:hAnsi="Times New Roman"/>
          <w:sz w:val="24"/>
          <w:szCs w:val="24"/>
          <w:lang w:val="en-US"/>
        </w:rPr>
      </w:pPr>
      <w:r>
        <w:rPr>
          <w:rFonts w:ascii="Times New Roman" w:hAnsi="Times New Roman"/>
          <w:sz w:val="24"/>
          <w:szCs w:val="24"/>
        </w:rPr>
        <w:t xml:space="preserve"> </w:t>
      </w:r>
      <w:r>
        <w:rPr>
          <w:rFonts w:ascii="Times New Roman" w:hAnsi="Times New Roman"/>
          <w:sz w:val="24"/>
          <w:szCs w:val="24"/>
          <w:lang w:val="en-US"/>
        </w:rPr>
        <w:t xml:space="preserve">- </w:t>
      </w:r>
      <w:r>
        <w:rPr>
          <w:rFonts w:ascii="Times New Roman" w:hAnsi="Times New Roman"/>
          <w:sz w:val="24"/>
          <w:szCs w:val="24"/>
        </w:rPr>
        <w:t>Евронекст</w:t>
      </w:r>
      <w:r>
        <w:rPr>
          <w:rFonts w:ascii="Times New Roman" w:hAnsi="Times New Roman"/>
          <w:sz w:val="24"/>
          <w:szCs w:val="24"/>
          <w:lang w:val="en-US"/>
        </w:rPr>
        <w:t xml:space="preserve"> (Euronext Amsterdam, Euronext Brussels, Euronext Lisbon, Euronext Paris);</w:t>
      </w:r>
    </w:p>
    <w:p w14:paraId="564CFCBC" w14:textId="77777777" w:rsidR="000C1E0E" w:rsidRDefault="000C1E0E" w:rsidP="000C1E0E">
      <w:pPr>
        <w:autoSpaceDE w:val="0"/>
        <w:autoSpaceDN w:val="0"/>
        <w:adjustRightInd w:val="0"/>
        <w:spacing w:line="240" w:lineRule="auto"/>
        <w:ind w:firstLine="567"/>
        <w:rPr>
          <w:rFonts w:ascii="Times New Roman" w:hAnsi="Times New Roman"/>
          <w:sz w:val="24"/>
          <w:szCs w:val="24"/>
          <w:lang w:val="en-US"/>
        </w:rPr>
      </w:pPr>
      <w:r>
        <w:rPr>
          <w:rFonts w:ascii="Times New Roman" w:hAnsi="Times New Roman"/>
          <w:sz w:val="24"/>
          <w:szCs w:val="24"/>
          <w:lang w:val="en-US"/>
        </w:rPr>
        <w:t xml:space="preserve">-  </w:t>
      </w:r>
      <w:r>
        <w:rPr>
          <w:rFonts w:ascii="Times New Roman" w:hAnsi="Times New Roman"/>
          <w:sz w:val="24"/>
          <w:szCs w:val="24"/>
        </w:rPr>
        <w:t>Ирландская</w:t>
      </w:r>
      <w:r>
        <w:rPr>
          <w:rFonts w:ascii="Times New Roman" w:hAnsi="Times New Roman"/>
          <w:sz w:val="24"/>
          <w:szCs w:val="24"/>
          <w:lang w:val="en-US"/>
        </w:rPr>
        <w:t xml:space="preserve"> </w:t>
      </w:r>
      <w:r>
        <w:rPr>
          <w:rFonts w:ascii="Times New Roman" w:hAnsi="Times New Roman"/>
          <w:sz w:val="24"/>
          <w:szCs w:val="24"/>
        </w:rPr>
        <w:t>Фондовая</w:t>
      </w:r>
      <w:r>
        <w:rPr>
          <w:rFonts w:ascii="Times New Roman" w:hAnsi="Times New Roman"/>
          <w:sz w:val="24"/>
          <w:szCs w:val="24"/>
          <w:lang w:val="en-US"/>
        </w:rPr>
        <w:t xml:space="preserve"> </w:t>
      </w:r>
      <w:r>
        <w:rPr>
          <w:rFonts w:ascii="Times New Roman" w:hAnsi="Times New Roman"/>
          <w:sz w:val="24"/>
          <w:szCs w:val="24"/>
        </w:rPr>
        <w:t>биржа</w:t>
      </w:r>
      <w:r>
        <w:rPr>
          <w:rFonts w:ascii="Times New Roman" w:hAnsi="Times New Roman"/>
          <w:sz w:val="24"/>
          <w:szCs w:val="24"/>
          <w:lang w:val="en-US"/>
        </w:rPr>
        <w:t xml:space="preserve"> (Irish Stock Exchange);</w:t>
      </w:r>
    </w:p>
    <w:p w14:paraId="62888DD3" w14:textId="77777777" w:rsidR="000C1E0E" w:rsidRDefault="000C1E0E" w:rsidP="000C1E0E">
      <w:pPr>
        <w:autoSpaceDE w:val="0"/>
        <w:autoSpaceDN w:val="0"/>
        <w:adjustRightInd w:val="0"/>
        <w:spacing w:line="240" w:lineRule="auto"/>
        <w:ind w:firstLine="567"/>
        <w:rPr>
          <w:rFonts w:ascii="Times New Roman" w:hAnsi="Times New Roman"/>
          <w:sz w:val="24"/>
          <w:szCs w:val="24"/>
          <w:lang w:val="en-US"/>
        </w:rPr>
      </w:pPr>
      <w:r>
        <w:rPr>
          <w:rFonts w:ascii="Times New Roman" w:hAnsi="Times New Roman"/>
          <w:sz w:val="24"/>
          <w:szCs w:val="24"/>
          <w:lang w:val="en-US"/>
        </w:rPr>
        <w:t xml:space="preserve"> - </w:t>
      </w:r>
      <w:r>
        <w:rPr>
          <w:rFonts w:ascii="Times New Roman" w:hAnsi="Times New Roman"/>
          <w:sz w:val="24"/>
          <w:szCs w:val="24"/>
        </w:rPr>
        <w:t>Испанская</w:t>
      </w:r>
      <w:r>
        <w:rPr>
          <w:rFonts w:ascii="Times New Roman" w:hAnsi="Times New Roman"/>
          <w:sz w:val="24"/>
          <w:szCs w:val="24"/>
          <w:lang w:val="en-US"/>
        </w:rPr>
        <w:t xml:space="preserve"> </w:t>
      </w:r>
      <w:r>
        <w:rPr>
          <w:rFonts w:ascii="Times New Roman" w:hAnsi="Times New Roman"/>
          <w:sz w:val="24"/>
          <w:szCs w:val="24"/>
        </w:rPr>
        <w:t>Фондовая</w:t>
      </w:r>
      <w:r>
        <w:rPr>
          <w:rFonts w:ascii="Times New Roman" w:hAnsi="Times New Roman"/>
          <w:sz w:val="24"/>
          <w:szCs w:val="24"/>
          <w:lang w:val="en-US"/>
        </w:rPr>
        <w:t xml:space="preserve"> </w:t>
      </w:r>
      <w:r>
        <w:rPr>
          <w:rFonts w:ascii="Times New Roman" w:hAnsi="Times New Roman"/>
          <w:sz w:val="24"/>
          <w:szCs w:val="24"/>
        </w:rPr>
        <w:t>биржа</w:t>
      </w:r>
      <w:r>
        <w:rPr>
          <w:rFonts w:ascii="Times New Roman" w:hAnsi="Times New Roman"/>
          <w:sz w:val="24"/>
          <w:szCs w:val="24"/>
          <w:lang w:val="en-US"/>
        </w:rPr>
        <w:t xml:space="preserve"> (BME Spanish Exchanges);</w:t>
      </w:r>
    </w:p>
    <w:p w14:paraId="2BB5D1DD" w14:textId="77777777" w:rsidR="000C1E0E" w:rsidRDefault="000C1E0E" w:rsidP="000C1E0E">
      <w:pPr>
        <w:autoSpaceDE w:val="0"/>
        <w:autoSpaceDN w:val="0"/>
        <w:adjustRightInd w:val="0"/>
        <w:spacing w:line="240" w:lineRule="auto"/>
        <w:ind w:firstLine="567"/>
        <w:rPr>
          <w:rFonts w:ascii="Times New Roman" w:hAnsi="Times New Roman"/>
          <w:sz w:val="24"/>
          <w:szCs w:val="24"/>
        </w:rPr>
      </w:pPr>
      <w:r>
        <w:rPr>
          <w:rFonts w:ascii="Times New Roman" w:hAnsi="Times New Roman"/>
          <w:sz w:val="24"/>
          <w:szCs w:val="24"/>
          <w:lang w:val="en-US"/>
        </w:rPr>
        <w:t xml:space="preserve"> </w:t>
      </w:r>
      <w:r>
        <w:rPr>
          <w:rFonts w:ascii="Times New Roman" w:hAnsi="Times New Roman"/>
          <w:sz w:val="24"/>
          <w:szCs w:val="24"/>
        </w:rPr>
        <w:t>- Итальянская Фондовая биржа (Borsa Italiana);</w:t>
      </w:r>
    </w:p>
    <w:p w14:paraId="7940C893" w14:textId="77777777" w:rsidR="000C1E0E" w:rsidRDefault="000C1E0E" w:rsidP="000C1E0E">
      <w:pPr>
        <w:autoSpaceDE w:val="0"/>
        <w:autoSpaceDN w:val="0"/>
        <w:adjustRightInd w:val="0"/>
        <w:spacing w:line="240" w:lineRule="auto"/>
        <w:ind w:firstLine="567"/>
        <w:rPr>
          <w:rFonts w:ascii="Times New Roman" w:hAnsi="Times New Roman"/>
          <w:sz w:val="24"/>
          <w:szCs w:val="24"/>
        </w:rPr>
      </w:pPr>
      <w:r>
        <w:rPr>
          <w:rFonts w:ascii="Times New Roman" w:hAnsi="Times New Roman"/>
          <w:sz w:val="24"/>
          <w:szCs w:val="24"/>
        </w:rPr>
        <w:t xml:space="preserve"> - Корейская биржа (Korea Exchange);</w:t>
      </w:r>
    </w:p>
    <w:p w14:paraId="455B9F92" w14:textId="77777777" w:rsidR="000C1E0E" w:rsidRDefault="000C1E0E" w:rsidP="000C1E0E">
      <w:pPr>
        <w:autoSpaceDE w:val="0"/>
        <w:autoSpaceDN w:val="0"/>
        <w:adjustRightInd w:val="0"/>
        <w:spacing w:line="240" w:lineRule="auto"/>
        <w:ind w:firstLine="567"/>
        <w:rPr>
          <w:rFonts w:ascii="Times New Roman" w:hAnsi="Times New Roman"/>
          <w:sz w:val="24"/>
          <w:szCs w:val="24"/>
        </w:rPr>
      </w:pPr>
      <w:r>
        <w:rPr>
          <w:rFonts w:ascii="Times New Roman" w:hAnsi="Times New Roman"/>
          <w:sz w:val="24"/>
          <w:szCs w:val="24"/>
        </w:rPr>
        <w:t xml:space="preserve"> -Люксембургская Фондовая биржа (Luxembourg Stock Exchange);</w:t>
      </w:r>
    </w:p>
    <w:p w14:paraId="67057ABB" w14:textId="77777777" w:rsidR="000C1E0E" w:rsidRDefault="000C1E0E" w:rsidP="000C1E0E">
      <w:pPr>
        <w:autoSpaceDE w:val="0"/>
        <w:autoSpaceDN w:val="0"/>
        <w:adjustRightInd w:val="0"/>
        <w:spacing w:line="240" w:lineRule="auto"/>
        <w:ind w:firstLine="567"/>
        <w:rPr>
          <w:rFonts w:ascii="Times New Roman" w:hAnsi="Times New Roman"/>
          <w:sz w:val="24"/>
          <w:szCs w:val="24"/>
        </w:rPr>
      </w:pPr>
      <w:r>
        <w:rPr>
          <w:rFonts w:ascii="Times New Roman" w:hAnsi="Times New Roman"/>
          <w:sz w:val="24"/>
          <w:szCs w:val="24"/>
        </w:rPr>
        <w:t xml:space="preserve"> - Немецкая Фондовая биржа (</w:t>
      </w:r>
      <w:r>
        <w:rPr>
          <w:rFonts w:ascii="Times New Roman" w:hAnsi="Times New Roman"/>
          <w:sz w:val="24"/>
          <w:szCs w:val="24"/>
          <w:lang w:val="en-US"/>
        </w:rPr>
        <w:t>Deutsche</w:t>
      </w:r>
      <w:r w:rsidRPr="00811E19">
        <w:rPr>
          <w:rFonts w:ascii="Times New Roman" w:hAnsi="Times New Roman"/>
          <w:sz w:val="24"/>
          <w:szCs w:val="24"/>
        </w:rPr>
        <w:t xml:space="preserve"> </w:t>
      </w:r>
      <w:r>
        <w:rPr>
          <w:rFonts w:ascii="Times New Roman" w:hAnsi="Times New Roman"/>
          <w:sz w:val="24"/>
          <w:szCs w:val="24"/>
          <w:lang w:val="en-US"/>
        </w:rPr>
        <w:t>Borse</w:t>
      </w:r>
      <w:r>
        <w:rPr>
          <w:rFonts w:ascii="Times New Roman" w:hAnsi="Times New Roman"/>
          <w:sz w:val="24"/>
          <w:szCs w:val="24"/>
        </w:rPr>
        <w:t>);</w:t>
      </w:r>
    </w:p>
    <w:p w14:paraId="584237D7" w14:textId="77777777" w:rsidR="000C1E0E" w:rsidRDefault="000C1E0E" w:rsidP="000C1E0E">
      <w:pPr>
        <w:autoSpaceDE w:val="0"/>
        <w:autoSpaceDN w:val="0"/>
        <w:adjustRightInd w:val="0"/>
        <w:spacing w:line="240" w:lineRule="auto"/>
        <w:ind w:firstLine="567"/>
        <w:rPr>
          <w:rFonts w:ascii="Times New Roman" w:hAnsi="Times New Roman"/>
          <w:sz w:val="24"/>
          <w:szCs w:val="24"/>
          <w:lang w:val="en-US"/>
        </w:rPr>
      </w:pPr>
      <w:r>
        <w:rPr>
          <w:rFonts w:ascii="Times New Roman" w:hAnsi="Times New Roman"/>
          <w:sz w:val="24"/>
          <w:szCs w:val="24"/>
        </w:rPr>
        <w:t xml:space="preserve"> </w:t>
      </w:r>
      <w:r>
        <w:rPr>
          <w:rFonts w:ascii="Times New Roman" w:hAnsi="Times New Roman"/>
          <w:sz w:val="24"/>
          <w:szCs w:val="24"/>
          <w:lang w:val="en-US"/>
        </w:rPr>
        <w:t>-  Xetra («Exchange Electronic Trading»);</w:t>
      </w:r>
    </w:p>
    <w:p w14:paraId="7F65201F" w14:textId="77777777" w:rsidR="000C1E0E" w:rsidRDefault="000C1E0E" w:rsidP="000C1E0E">
      <w:pPr>
        <w:autoSpaceDE w:val="0"/>
        <w:autoSpaceDN w:val="0"/>
        <w:adjustRightInd w:val="0"/>
        <w:spacing w:line="240" w:lineRule="auto"/>
        <w:ind w:firstLine="567"/>
        <w:rPr>
          <w:rFonts w:ascii="Times New Roman" w:hAnsi="Times New Roman"/>
          <w:sz w:val="24"/>
          <w:szCs w:val="24"/>
          <w:lang w:val="en-US"/>
        </w:rPr>
      </w:pPr>
      <w:r>
        <w:rPr>
          <w:rFonts w:ascii="Times New Roman" w:hAnsi="Times New Roman"/>
          <w:sz w:val="24"/>
          <w:szCs w:val="24"/>
          <w:lang w:val="en-US"/>
        </w:rPr>
        <w:t xml:space="preserve"> - </w:t>
      </w:r>
      <w:r>
        <w:rPr>
          <w:rFonts w:ascii="Times New Roman" w:hAnsi="Times New Roman"/>
          <w:sz w:val="24"/>
          <w:szCs w:val="24"/>
        </w:rPr>
        <w:t>Токийская</w:t>
      </w:r>
      <w:r>
        <w:rPr>
          <w:rFonts w:ascii="Times New Roman" w:hAnsi="Times New Roman"/>
          <w:sz w:val="24"/>
          <w:szCs w:val="24"/>
          <w:lang w:val="en-US"/>
        </w:rPr>
        <w:t xml:space="preserve"> </w:t>
      </w:r>
      <w:r>
        <w:rPr>
          <w:rFonts w:ascii="Times New Roman" w:hAnsi="Times New Roman"/>
          <w:sz w:val="24"/>
          <w:szCs w:val="24"/>
        </w:rPr>
        <w:t>Фондовая</w:t>
      </w:r>
      <w:r>
        <w:rPr>
          <w:rFonts w:ascii="Times New Roman" w:hAnsi="Times New Roman"/>
          <w:sz w:val="24"/>
          <w:szCs w:val="24"/>
          <w:lang w:val="en-US"/>
        </w:rPr>
        <w:t xml:space="preserve"> </w:t>
      </w:r>
      <w:r>
        <w:rPr>
          <w:rFonts w:ascii="Times New Roman" w:hAnsi="Times New Roman"/>
          <w:sz w:val="24"/>
          <w:szCs w:val="24"/>
        </w:rPr>
        <w:t>биржа</w:t>
      </w:r>
      <w:r>
        <w:rPr>
          <w:rFonts w:ascii="Times New Roman" w:hAnsi="Times New Roman"/>
          <w:sz w:val="24"/>
          <w:szCs w:val="24"/>
          <w:lang w:val="en-US"/>
        </w:rPr>
        <w:t xml:space="preserve"> (Tokyo Stock Exchange Group);</w:t>
      </w:r>
    </w:p>
    <w:p w14:paraId="658E507A" w14:textId="77777777" w:rsidR="000C1E0E" w:rsidRDefault="000C1E0E" w:rsidP="000C1E0E">
      <w:pPr>
        <w:autoSpaceDE w:val="0"/>
        <w:autoSpaceDN w:val="0"/>
        <w:adjustRightInd w:val="0"/>
        <w:spacing w:line="240" w:lineRule="auto"/>
        <w:ind w:firstLine="567"/>
        <w:rPr>
          <w:rFonts w:ascii="Times New Roman" w:hAnsi="Times New Roman"/>
          <w:sz w:val="24"/>
          <w:szCs w:val="24"/>
          <w:lang w:val="en-US"/>
        </w:rPr>
      </w:pPr>
      <w:r>
        <w:rPr>
          <w:rFonts w:ascii="Times New Roman" w:hAnsi="Times New Roman"/>
          <w:sz w:val="24"/>
          <w:szCs w:val="24"/>
          <w:lang w:val="en-US"/>
        </w:rPr>
        <w:t xml:space="preserve"> - </w:t>
      </w:r>
      <w:r>
        <w:rPr>
          <w:rFonts w:ascii="Times New Roman" w:hAnsi="Times New Roman"/>
          <w:sz w:val="24"/>
          <w:szCs w:val="24"/>
        </w:rPr>
        <w:t>Фондовая</w:t>
      </w:r>
      <w:r>
        <w:rPr>
          <w:rFonts w:ascii="Times New Roman" w:hAnsi="Times New Roman"/>
          <w:sz w:val="24"/>
          <w:szCs w:val="24"/>
          <w:lang w:val="en-US"/>
        </w:rPr>
        <w:t xml:space="preserve"> </w:t>
      </w:r>
      <w:r>
        <w:rPr>
          <w:rFonts w:ascii="Times New Roman" w:hAnsi="Times New Roman"/>
          <w:sz w:val="24"/>
          <w:szCs w:val="24"/>
        </w:rPr>
        <w:t>биржа</w:t>
      </w:r>
      <w:r>
        <w:rPr>
          <w:rFonts w:ascii="Times New Roman" w:hAnsi="Times New Roman"/>
          <w:sz w:val="24"/>
          <w:szCs w:val="24"/>
          <w:lang w:val="en-US"/>
        </w:rPr>
        <w:t xml:space="preserve"> </w:t>
      </w:r>
      <w:r>
        <w:rPr>
          <w:rFonts w:ascii="Times New Roman" w:hAnsi="Times New Roman"/>
          <w:sz w:val="24"/>
          <w:szCs w:val="24"/>
        </w:rPr>
        <w:t>Торонто</w:t>
      </w:r>
      <w:r>
        <w:rPr>
          <w:rFonts w:ascii="Times New Roman" w:hAnsi="Times New Roman"/>
          <w:sz w:val="24"/>
          <w:szCs w:val="24"/>
          <w:lang w:val="en-US"/>
        </w:rPr>
        <w:t xml:space="preserve"> (Toronto Stock Exchange, TSX Group);</w:t>
      </w:r>
    </w:p>
    <w:p w14:paraId="1FB244E5" w14:textId="77777777" w:rsidR="000C1E0E" w:rsidRDefault="000C1E0E" w:rsidP="000C1E0E">
      <w:pPr>
        <w:autoSpaceDE w:val="0"/>
        <w:autoSpaceDN w:val="0"/>
        <w:adjustRightInd w:val="0"/>
        <w:spacing w:line="240" w:lineRule="auto"/>
        <w:ind w:firstLine="567"/>
        <w:rPr>
          <w:rFonts w:ascii="Times New Roman" w:hAnsi="Times New Roman"/>
          <w:sz w:val="24"/>
          <w:szCs w:val="24"/>
        </w:rPr>
      </w:pPr>
      <w:r>
        <w:rPr>
          <w:rFonts w:ascii="Times New Roman" w:hAnsi="Times New Roman"/>
          <w:sz w:val="24"/>
          <w:szCs w:val="24"/>
          <w:lang w:val="en-US"/>
        </w:rPr>
        <w:t xml:space="preserve"> </w:t>
      </w:r>
      <w:r>
        <w:rPr>
          <w:rFonts w:ascii="Times New Roman" w:hAnsi="Times New Roman"/>
          <w:sz w:val="24"/>
          <w:szCs w:val="24"/>
        </w:rPr>
        <w:t>- Фондовая биржа Швейцарии (Swiss Exchange);</w:t>
      </w:r>
    </w:p>
    <w:p w14:paraId="1509C03D" w14:textId="77777777" w:rsidR="000C1E0E" w:rsidRDefault="000C1E0E" w:rsidP="000C1E0E">
      <w:pPr>
        <w:autoSpaceDE w:val="0"/>
        <w:autoSpaceDN w:val="0"/>
        <w:adjustRightInd w:val="0"/>
        <w:spacing w:line="240" w:lineRule="auto"/>
        <w:ind w:firstLine="567"/>
        <w:rPr>
          <w:rFonts w:ascii="Times New Roman" w:hAnsi="Times New Roman"/>
          <w:sz w:val="24"/>
          <w:szCs w:val="24"/>
        </w:rPr>
      </w:pPr>
      <w:r>
        <w:rPr>
          <w:rFonts w:ascii="Times New Roman" w:hAnsi="Times New Roman"/>
          <w:sz w:val="24"/>
          <w:szCs w:val="24"/>
        </w:rPr>
        <w:t xml:space="preserve"> - Шанхайская Фондовая биржа (Shanghai Stock Exchange);</w:t>
      </w:r>
    </w:p>
    <w:p w14:paraId="32209CBB" w14:textId="17920DC5" w:rsidR="000C1E0E" w:rsidRDefault="000C1E0E" w:rsidP="000C1E0E">
      <w:pPr>
        <w:autoSpaceDE w:val="0"/>
        <w:autoSpaceDN w:val="0"/>
        <w:adjustRightInd w:val="0"/>
        <w:spacing w:line="240" w:lineRule="auto"/>
        <w:ind w:firstLine="567"/>
        <w:rPr>
          <w:rFonts w:ascii="Times New Roman" w:hAnsi="Times New Roman"/>
          <w:sz w:val="24"/>
          <w:szCs w:val="24"/>
          <w:lang w:val="en-US"/>
        </w:rPr>
      </w:pPr>
      <w:r w:rsidRPr="00767D8F">
        <w:rPr>
          <w:rFonts w:ascii="Times New Roman" w:hAnsi="Times New Roman"/>
          <w:sz w:val="24"/>
          <w:szCs w:val="24"/>
        </w:rPr>
        <w:t xml:space="preserve"> </w:t>
      </w:r>
      <w:r>
        <w:rPr>
          <w:rFonts w:ascii="Times New Roman" w:hAnsi="Times New Roman"/>
          <w:sz w:val="24"/>
          <w:szCs w:val="24"/>
          <w:lang w:val="en-US"/>
        </w:rPr>
        <w:t xml:space="preserve">- </w:t>
      </w:r>
      <w:r>
        <w:rPr>
          <w:rFonts w:ascii="Times New Roman" w:hAnsi="Times New Roman"/>
          <w:sz w:val="24"/>
          <w:szCs w:val="24"/>
        </w:rPr>
        <w:t>Чикагская</w:t>
      </w:r>
      <w:r>
        <w:rPr>
          <w:rFonts w:ascii="Times New Roman" w:hAnsi="Times New Roman"/>
          <w:sz w:val="24"/>
          <w:szCs w:val="24"/>
          <w:lang w:val="en-US"/>
        </w:rPr>
        <w:t xml:space="preserve"> </w:t>
      </w:r>
      <w:r>
        <w:rPr>
          <w:rFonts w:ascii="Times New Roman" w:hAnsi="Times New Roman"/>
          <w:sz w:val="24"/>
          <w:szCs w:val="24"/>
        </w:rPr>
        <w:t>фондовая</w:t>
      </w:r>
      <w:r>
        <w:rPr>
          <w:rFonts w:ascii="Times New Roman" w:hAnsi="Times New Roman"/>
          <w:sz w:val="24"/>
          <w:szCs w:val="24"/>
          <w:lang w:val="en-US"/>
        </w:rPr>
        <w:t xml:space="preserve"> </w:t>
      </w:r>
      <w:r>
        <w:rPr>
          <w:rFonts w:ascii="Times New Roman" w:hAnsi="Times New Roman"/>
          <w:sz w:val="24"/>
          <w:szCs w:val="24"/>
        </w:rPr>
        <w:t>биржа</w:t>
      </w:r>
      <w:r>
        <w:rPr>
          <w:rFonts w:ascii="Times New Roman" w:hAnsi="Times New Roman"/>
          <w:sz w:val="24"/>
          <w:szCs w:val="24"/>
          <w:lang w:val="en-US"/>
        </w:rPr>
        <w:t xml:space="preserve"> (Chicago Mercantile Exchange (CME Group).</w:t>
      </w:r>
    </w:p>
    <w:p w14:paraId="28299118" w14:textId="77777777" w:rsidR="000C1E0E" w:rsidRDefault="000C1E0E" w:rsidP="000C1E0E">
      <w:pPr>
        <w:widowControl w:val="0"/>
        <w:numPr>
          <w:ilvl w:val="1"/>
          <w:numId w:val="4"/>
        </w:numPr>
        <w:spacing w:before="60" w:after="60" w:line="240" w:lineRule="auto"/>
        <w:outlineLvl w:val="1"/>
        <w:rPr>
          <w:rFonts w:ascii="Times New Roman" w:hAnsi="Times New Roman"/>
          <w:b/>
          <w:sz w:val="24"/>
          <w:szCs w:val="24"/>
        </w:rPr>
      </w:pPr>
      <w:r>
        <w:rPr>
          <w:rFonts w:ascii="Times New Roman" w:hAnsi="Times New Roman"/>
          <w:b/>
          <w:sz w:val="24"/>
          <w:szCs w:val="24"/>
        </w:rPr>
        <w:t xml:space="preserve">Критерии выбора основного рынка для российских ценных бумаг. </w:t>
      </w:r>
    </w:p>
    <w:p w14:paraId="5DB0136B" w14:textId="77777777" w:rsidR="000C1E0E" w:rsidRDefault="000C1E0E" w:rsidP="000C1E0E">
      <w:pPr>
        <w:widowControl w:val="0"/>
        <w:numPr>
          <w:ilvl w:val="2"/>
          <w:numId w:val="4"/>
        </w:numPr>
        <w:spacing w:before="60" w:after="60" w:line="240" w:lineRule="auto"/>
        <w:outlineLvl w:val="1"/>
        <w:rPr>
          <w:rFonts w:ascii="Times New Roman" w:hAnsi="Times New Roman"/>
          <w:sz w:val="24"/>
          <w:szCs w:val="24"/>
        </w:rPr>
      </w:pPr>
      <w:r>
        <w:rPr>
          <w:rFonts w:ascii="Times New Roman" w:hAnsi="Times New Roman"/>
          <w:sz w:val="24"/>
          <w:szCs w:val="24"/>
        </w:rPr>
        <w:t>Основным рынком для российских ценных бумаг признается</w:t>
      </w:r>
    </w:p>
    <w:p w14:paraId="46E5D792" w14:textId="77777777" w:rsidR="000C1E0E" w:rsidRDefault="000C1E0E" w:rsidP="000C1E0E">
      <w:pPr>
        <w:widowControl w:val="0"/>
        <w:spacing w:before="60" w:after="60" w:line="240" w:lineRule="auto"/>
        <w:ind w:left="720"/>
        <w:outlineLvl w:val="1"/>
        <w:rPr>
          <w:rFonts w:ascii="Times New Roman" w:hAnsi="Times New Roman"/>
          <w:sz w:val="24"/>
          <w:szCs w:val="24"/>
        </w:rPr>
      </w:pPr>
      <w:r>
        <w:rPr>
          <w:rFonts w:ascii="Times New Roman" w:hAnsi="Times New Roman"/>
          <w:sz w:val="24"/>
          <w:szCs w:val="24"/>
        </w:rPr>
        <w:t>ПАО Московская Биржа;</w:t>
      </w:r>
    </w:p>
    <w:p w14:paraId="7A8BE4DC" w14:textId="77777777" w:rsidR="000C1E0E" w:rsidRDefault="000C1E0E" w:rsidP="000C1E0E">
      <w:pPr>
        <w:widowControl w:val="0"/>
        <w:spacing w:before="60" w:after="60" w:line="240" w:lineRule="auto"/>
        <w:ind w:left="720"/>
        <w:outlineLvl w:val="1"/>
        <w:rPr>
          <w:rFonts w:ascii="Times New Roman" w:hAnsi="Times New Roman"/>
          <w:sz w:val="24"/>
          <w:szCs w:val="24"/>
        </w:rPr>
      </w:pPr>
      <w:r>
        <w:rPr>
          <w:rFonts w:ascii="Times New Roman" w:hAnsi="Times New Roman"/>
          <w:sz w:val="24"/>
          <w:szCs w:val="24"/>
        </w:rPr>
        <w:t>- в случае если ПАО Московская Биржа не является активным рынком – российская биржевая площадка из числа активных рынков, по которой определен наибольший общий объем сделок по количеству ценных бумаг за последние 10 торговых дней.</w:t>
      </w:r>
    </w:p>
    <w:p w14:paraId="63D7D08B" w14:textId="77777777" w:rsidR="000C1E0E" w:rsidRDefault="000C1E0E" w:rsidP="000C1E0E">
      <w:pPr>
        <w:widowControl w:val="0"/>
        <w:spacing w:before="60" w:after="60" w:line="240" w:lineRule="auto"/>
        <w:ind w:left="720"/>
        <w:outlineLvl w:val="1"/>
        <w:rPr>
          <w:rFonts w:ascii="Times New Roman" w:hAnsi="Times New Roman"/>
          <w:sz w:val="24"/>
          <w:szCs w:val="24"/>
        </w:rPr>
      </w:pPr>
      <w:r>
        <w:rPr>
          <w:rFonts w:ascii="Times New Roman" w:hAnsi="Times New Roman"/>
          <w:sz w:val="24"/>
          <w:szCs w:val="24"/>
        </w:rPr>
        <w:t xml:space="preserve">-  при отсутствии информации об объеме сделок по количеству ценных бумаг используется информация об объеме сделок в денежном выражении. При равенстве объема сделок на различных торговых площадках основным рынком считается торговая площадка с наибольшим количеством сделок за данный период. </w:t>
      </w:r>
    </w:p>
    <w:bookmarkEnd w:id="1"/>
    <w:p w14:paraId="696851AA" w14:textId="7DA2DAEC" w:rsidR="000C1E0E" w:rsidRDefault="00E06251" w:rsidP="000C1E0E">
      <w:pPr>
        <w:widowControl w:val="0"/>
        <w:numPr>
          <w:ilvl w:val="1"/>
          <w:numId w:val="4"/>
        </w:numPr>
        <w:spacing w:before="60" w:after="60" w:line="240" w:lineRule="auto"/>
        <w:outlineLvl w:val="1"/>
        <w:rPr>
          <w:rFonts w:ascii="Times New Roman" w:hAnsi="Times New Roman"/>
          <w:b/>
          <w:sz w:val="24"/>
          <w:szCs w:val="24"/>
        </w:rPr>
      </w:pPr>
      <w:r>
        <w:rPr>
          <w:rFonts w:ascii="Times New Roman" w:hAnsi="Times New Roman"/>
          <w:b/>
          <w:sz w:val="24"/>
          <w:szCs w:val="24"/>
        </w:rPr>
        <w:t xml:space="preserve">Критерии </w:t>
      </w:r>
      <w:r w:rsidR="000C1E0E">
        <w:rPr>
          <w:rFonts w:ascii="Times New Roman" w:hAnsi="Times New Roman"/>
          <w:b/>
          <w:sz w:val="24"/>
          <w:szCs w:val="24"/>
        </w:rPr>
        <w:t xml:space="preserve">выбора основного рынка для иностранных ценных бумаг. </w:t>
      </w:r>
    </w:p>
    <w:p w14:paraId="6211D98C" w14:textId="71B8E0D3" w:rsidR="000C1E0E" w:rsidRDefault="000C1E0E" w:rsidP="000C1E0E">
      <w:pPr>
        <w:widowControl w:val="0"/>
        <w:numPr>
          <w:ilvl w:val="2"/>
          <w:numId w:val="4"/>
        </w:numPr>
        <w:spacing w:before="60" w:after="60" w:line="240" w:lineRule="auto"/>
        <w:outlineLvl w:val="1"/>
        <w:rPr>
          <w:rFonts w:ascii="Times New Roman" w:hAnsi="Times New Roman"/>
          <w:b/>
          <w:sz w:val="24"/>
          <w:szCs w:val="24"/>
        </w:rPr>
      </w:pPr>
      <w:r>
        <w:rPr>
          <w:rFonts w:ascii="Times New Roman" w:hAnsi="Times New Roman"/>
          <w:sz w:val="24"/>
          <w:szCs w:val="24"/>
        </w:rPr>
        <w:t>Основным рынком для иностранных ценных бумаг признается:</w:t>
      </w:r>
    </w:p>
    <w:p w14:paraId="61D3B430" w14:textId="77777777" w:rsidR="000C1E0E" w:rsidRDefault="000C1E0E" w:rsidP="000C1E0E">
      <w:pPr>
        <w:widowControl w:val="0"/>
        <w:spacing w:before="60" w:after="60" w:line="240" w:lineRule="auto"/>
        <w:ind w:left="720"/>
        <w:outlineLvl w:val="1"/>
        <w:rPr>
          <w:rFonts w:ascii="Times New Roman" w:hAnsi="Times New Roman"/>
          <w:sz w:val="24"/>
          <w:szCs w:val="24"/>
        </w:rPr>
      </w:pPr>
      <w:r>
        <w:rPr>
          <w:rFonts w:ascii="Times New Roman" w:hAnsi="Times New Roman"/>
          <w:sz w:val="24"/>
          <w:szCs w:val="24"/>
        </w:rPr>
        <w:t>- иностранная биржа или российская биржа из числа активных рынков, по которой определен наибольший общий объем сделок по количеству ценных бумаг за последние 10 торговых дней;</w:t>
      </w:r>
    </w:p>
    <w:p w14:paraId="11B47799" w14:textId="77777777" w:rsidR="000C1E0E" w:rsidRDefault="000C1E0E" w:rsidP="000C1E0E">
      <w:pPr>
        <w:widowControl w:val="0"/>
        <w:spacing w:before="60" w:after="60" w:line="240" w:lineRule="auto"/>
        <w:ind w:left="720"/>
        <w:outlineLvl w:val="1"/>
        <w:rPr>
          <w:rFonts w:ascii="Times New Roman" w:hAnsi="Times New Roman"/>
          <w:sz w:val="24"/>
          <w:szCs w:val="24"/>
        </w:rPr>
      </w:pPr>
      <w:r>
        <w:rPr>
          <w:rFonts w:ascii="Times New Roman" w:hAnsi="Times New Roman"/>
          <w:sz w:val="24"/>
          <w:szCs w:val="24"/>
        </w:rPr>
        <w:t>- при отсутствии информации об объеме сделок по количеству ценных бумаг используется информация об объеме сделок в денежном выражении. При этом величины объема сделок в валюте котировки переводятся в рубли по курсу Банка России на дату определения СЧА. При равенстве объема сделок на различных торговых площадках основным рынком считается торговая площадка с наибольшим количеством сделок за данный период.</w:t>
      </w:r>
    </w:p>
    <w:p w14:paraId="535CDA1C" w14:textId="77777777" w:rsidR="000C1E0E" w:rsidRDefault="000C1E0E" w:rsidP="000C1E0E">
      <w:pPr>
        <w:keepNext/>
        <w:widowControl w:val="0"/>
        <w:numPr>
          <w:ilvl w:val="2"/>
          <w:numId w:val="4"/>
        </w:numPr>
        <w:spacing w:before="60" w:after="60" w:line="240" w:lineRule="auto"/>
        <w:outlineLvl w:val="1"/>
        <w:rPr>
          <w:rFonts w:ascii="Times New Roman" w:hAnsi="Times New Roman"/>
          <w:sz w:val="24"/>
          <w:szCs w:val="24"/>
        </w:rPr>
      </w:pPr>
      <w:r>
        <w:rPr>
          <w:rFonts w:ascii="Times New Roman" w:hAnsi="Times New Roman"/>
          <w:sz w:val="24"/>
          <w:szCs w:val="24"/>
        </w:rPr>
        <w:t xml:space="preserve">Для облигаций внешних облигационных займов Российской Федерации, долговых ценных бумаг иностранных государств, еврооблигаций иностранных - эмитентов, ценных бумаг международных финансовых организаций основным рынком признается внебиржевой рынок. </w:t>
      </w:r>
    </w:p>
    <w:p w14:paraId="2C28407C" w14:textId="77777777" w:rsidR="000C1E0E" w:rsidRDefault="000C1E0E" w:rsidP="000C1E0E">
      <w:pPr>
        <w:keepNext/>
        <w:widowControl w:val="0"/>
        <w:spacing w:before="60" w:after="60" w:line="240" w:lineRule="auto"/>
        <w:ind w:left="720"/>
        <w:outlineLvl w:val="1"/>
        <w:rPr>
          <w:rFonts w:ascii="Times New Roman" w:hAnsi="Times New Roman"/>
          <w:sz w:val="24"/>
          <w:szCs w:val="24"/>
        </w:rPr>
      </w:pPr>
      <w:r>
        <w:rPr>
          <w:rFonts w:ascii="Times New Roman" w:hAnsi="Times New Roman"/>
          <w:sz w:val="24"/>
          <w:szCs w:val="24"/>
        </w:rPr>
        <w:t>В случае, если долговые ценные бумаги иностранных государств допущены к торгам на российской бирже, то справедливая стоимость ценных бумаг определяется на Уровне 1 также, как определяется справедливая стоимость облигаций российского эмитента.</w:t>
      </w:r>
    </w:p>
    <w:p w14:paraId="1F3EA67F" w14:textId="77777777" w:rsidR="000C1E0E" w:rsidRDefault="000C1E0E" w:rsidP="000C1E0E">
      <w:pPr>
        <w:keepNext/>
        <w:widowControl w:val="0"/>
        <w:numPr>
          <w:ilvl w:val="2"/>
          <w:numId w:val="4"/>
        </w:numPr>
        <w:spacing w:before="60" w:after="60" w:line="240" w:lineRule="auto"/>
        <w:outlineLvl w:val="1"/>
        <w:rPr>
          <w:rFonts w:ascii="Times New Roman" w:hAnsi="Times New Roman"/>
          <w:sz w:val="24"/>
          <w:szCs w:val="24"/>
        </w:rPr>
      </w:pPr>
      <w:r>
        <w:rPr>
          <w:rFonts w:eastAsia="Batang"/>
          <w:sz w:val="24"/>
          <w:szCs w:val="24"/>
        </w:rPr>
        <w:t>В случае, если на основном (наиболее выгодном) рынке был нерабочий (праздничный) день на дату определения справедливой стоимости актива и при условии наличия проведенного анализа данных, подтверждающего, что после даты, по состоянию на которую наблюдалась цена, не произошли существенные события – используются цены последнего торгового дня.</w:t>
      </w:r>
    </w:p>
    <w:p w14:paraId="41861A9F" w14:textId="77777777" w:rsidR="000C1E0E" w:rsidRDefault="000C1E0E" w:rsidP="000C1E0E">
      <w:pPr>
        <w:keepNext/>
        <w:widowControl w:val="0"/>
        <w:spacing w:before="60" w:after="60" w:line="240" w:lineRule="auto"/>
        <w:ind w:left="720"/>
        <w:outlineLvl w:val="1"/>
        <w:rPr>
          <w:rFonts w:ascii="Times New Roman" w:hAnsi="Times New Roman"/>
          <w:sz w:val="24"/>
          <w:szCs w:val="24"/>
        </w:rPr>
      </w:pPr>
    </w:p>
    <w:p w14:paraId="50B82059" w14:textId="77777777" w:rsidR="000C1E0E" w:rsidRDefault="000C1E0E" w:rsidP="000C1E0E">
      <w:pPr>
        <w:keepNext/>
        <w:widowControl w:val="0"/>
        <w:numPr>
          <w:ilvl w:val="1"/>
          <w:numId w:val="4"/>
        </w:numPr>
        <w:spacing w:before="60" w:after="60" w:line="240" w:lineRule="auto"/>
        <w:outlineLvl w:val="1"/>
        <w:rPr>
          <w:rFonts w:ascii="Times New Roman" w:hAnsi="Times New Roman"/>
          <w:b/>
          <w:sz w:val="24"/>
          <w:szCs w:val="24"/>
        </w:rPr>
      </w:pPr>
      <w:r>
        <w:rPr>
          <w:rFonts w:ascii="Times New Roman" w:hAnsi="Times New Roman"/>
          <w:b/>
          <w:sz w:val="24"/>
          <w:szCs w:val="24"/>
        </w:rPr>
        <w:t xml:space="preserve">Определение справедливой стоимости ценных бумаг и ПФИ. </w:t>
      </w:r>
    </w:p>
    <w:p w14:paraId="42BDE753" w14:textId="77777777" w:rsidR="000C1E0E" w:rsidRDefault="000C1E0E" w:rsidP="000C1E0E">
      <w:pPr>
        <w:keepNext/>
        <w:widowControl w:val="0"/>
        <w:numPr>
          <w:ilvl w:val="2"/>
          <w:numId w:val="4"/>
        </w:numPr>
        <w:spacing w:before="60" w:after="60" w:line="240" w:lineRule="auto"/>
        <w:jc w:val="left"/>
        <w:outlineLvl w:val="1"/>
        <w:rPr>
          <w:rFonts w:ascii="Times New Roman" w:hAnsi="Times New Roman"/>
          <w:sz w:val="24"/>
          <w:szCs w:val="24"/>
        </w:rPr>
      </w:pPr>
      <w:r>
        <w:rPr>
          <w:rFonts w:ascii="Times New Roman" w:hAnsi="Times New Roman"/>
          <w:sz w:val="24"/>
          <w:szCs w:val="24"/>
        </w:rPr>
        <w:t xml:space="preserve">Уровни цен при определении справедливой стоимости: </w:t>
      </w:r>
    </w:p>
    <w:p w14:paraId="0A6031B3" w14:textId="77777777" w:rsidR="000C1E0E" w:rsidRDefault="000C1E0E" w:rsidP="000C1E0E">
      <w:pPr>
        <w:keepNext/>
        <w:widowControl w:val="0"/>
        <w:spacing w:before="60" w:after="60" w:line="240" w:lineRule="auto"/>
        <w:ind w:left="720"/>
        <w:jc w:val="left"/>
        <w:outlineLvl w:val="1"/>
        <w:rPr>
          <w:rFonts w:ascii="Times New Roman" w:hAnsi="Times New Roman"/>
          <w:sz w:val="24"/>
          <w:szCs w:val="24"/>
        </w:rPr>
      </w:pPr>
      <w:r>
        <w:rPr>
          <w:rFonts w:ascii="Times New Roman" w:hAnsi="Times New Roman"/>
          <w:sz w:val="24"/>
          <w:szCs w:val="24"/>
        </w:rPr>
        <w:t>1 уровень – цена актива или обязательства на основном (активном) рынке;</w:t>
      </w:r>
    </w:p>
    <w:p w14:paraId="275F4BA3" w14:textId="77777777" w:rsidR="000C1E0E" w:rsidRDefault="000C1E0E" w:rsidP="000C1E0E">
      <w:pPr>
        <w:keepNext/>
        <w:widowControl w:val="0"/>
        <w:spacing w:before="60" w:after="60" w:line="240" w:lineRule="auto"/>
        <w:ind w:left="720"/>
        <w:jc w:val="left"/>
        <w:outlineLvl w:val="1"/>
        <w:rPr>
          <w:rFonts w:ascii="Times New Roman" w:hAnsi="Times New Roman"/>
          <w:sz w:val="24"/>
          <w:szCs w:val="24"/>
        </w:rPr>
      </w:pPr>
      <w:r>
        <w:rPr>
          <w:rFonts w:ascii="Times New Roman" w:hAnsi="Times New Roman"/>
          <w:sz w:val="24"/>
          <w:szCs w:val="24"/>
        </w:rPr>
        <w:t>2 уровень - цена, рассчитанная на основе наблюдаемых данных по указанному или аналогичному активу;</w:t>
      </w:r>
    </w:p>
    <w:p w14:paraId="0DE57B1E" w14:textId="77777777" w:rsidR="000C1E0E" w:rsidRDefault="000C1E0E" w:rsidP="000C1E0E">
      <w:pPr>
        <w:keepNext/>
        <w:widowControl w:val="0"/>
        <w:spacing w:before="60" w:after="60" w:line="240" w:lineRule="auto"/>
        <w:ind w:left="720"/>
        <w:jc w:val="left"/>
        <w:outlineLvl w:val="1"/>
        <w:rPr>
          <w:rFonts w:ascii="Times New Roman" w:hAnsi="Times New Roman"/>
          <w:sz w:val="24"/>
          <w:szCs w:val="24"/>
        </w:rPr>
      </w:pPr>
      <w:r>
        <w:rPr>
          <w:rFonts w:ascii="Times New Roman" w:hAnsi="Times New Roman"/>
          <w:sz w:val="24"/>
          <w:szCs w:val="24"/>
        </w:rPr>
        <w:t xml:space="preserve">3 уровень – цена, определенная на основе ненаблюдаемых данных исключительно на основе расчетных показателей в отношении конкретного актива.  </w:t>
      </w:r>
    </w:p>
    <w:p w14:paraId="37B0EBA4" w14:textId="77777777" w:rsidR="000C1E0E" w:rsidRDefault="000C1E0E" w:rsidP="000C1E0E">
      <w:pPr>
        <w:keepNext/>
        <w:widowControl w:val="0"/>
        <w:numPr>
          <w:ilvl w:val="2"/>
          <w:numId w:val="4"/>
        </w:numPr>
        <w:spacing w:before="60" w:after="60" w:line="240" w:lineRule="auto"/>
        <w:outlineLvl w:val="1"/>
        <w:rPr>
          <w:rFonts w:ascii="Times New Roman" w:hAnsi="Times New Roman"/>
          <w:b/>
          <w:sz w:val="24"/>
          <w:szCs w:val="24"/>
        </w:rPr>
      </w:pPr>
      <w:r>
        <w:rPr>
          <w:rFonts w:ascii="Times New Roman" w:hAnsi="Times New Roman"/>
          <w:b/>
          <w:sz w:val="24"/>
          <w:szCs w:val="24"/>
        </w:rPr>
        <w:t>Справедливая стоимость ценных бумаг российских эмитентов определяется в следующем порядке:</w:t>
      </w:r>
    </w:p>
    <w:p w14:paraId="194CBFD5" w14:textId="77777777" w:rsidR="000C1E0E" w:rsidRDefault="000C1E0E" w:rsidP="000C1E0E">
      <w:pPr>
        <w:keepNext/>
        <w:widowControl w:val="0"/>
        <w:spacing w:before="60" w:after="60" w:line="240" w:lineRule="auto"/>
        <w:ind w:left="720"/>
        <w:outlineLvl w:val="1"/>
        <w:rPr>
          <w:rFonts w:ascii="Times New Roman" w:hAnsi="Times New Roman"/>
          <w:sz w:val="24"/>
          <w:szCs w:val="24"/>
        </w:rPr>
      </w:pPr>
      <w:r>
        <w:rPr>
          <w:rFonts w:ascii="Times New Roman" w:hAnsi="Times New Roman"/>
          <w:b/>
          <w:sz w:val="24"/>
          <w:szCs w:val="24"/>
          <w:u w:val="single"/>
        </w:rPr>
        <w:t>1 уровень цен</w:t>
      </w:r>
      <w:r>
        <w:rPr>
          <w:rFonts w:ascii="Times New Roman" w:hAnsi="Times New Roman"/>
          <w:b/>
          <w:sz w:val="24"/>
          <w:szCs w:val="24"/>
        </w:rPr>
        <w:t>:</w:t>
      </w:r>
      <w:r>
        <w:rPr>
          <w:rFonts w:ascii="Times New Roman" w:hAnsi="Times New Roman"/>
          <w:sz w:val="24"/>
          <w:szCs w:val="24"/>
        </w:rPr>
        <w:t xml:space="preserve"> для определения справедливой стоимости, используются цены основного рынка за последний торговый день (из числа активных  российских бирж), выбранные в следующем порядке (убывания приоритета):</w:t>
      </w:r>
    </w:p>
    <w:p w14:paraId="30680C45" w14:textId="77777777" w:rsidR="000C1E0E" w:rsidRDefault="000C1E0E" w:rsidP="000C1E0E">
      <w:pPr>
        <w:pStyle w:val="afc"/>
        <w:keepNext/>
        <w:widowControl w:val="0"/>
        <w:numPr>
          <w:ilvl w:val="0"/>
          <w:numId w:val="5"/>
        </w:numPr>
        <w:spacing w:before="60" w:after="60" w:line="240" w:lineRule="auto"/>
        <w:jc w:val="both"/>
        <w:outlineLvl w:val="1"/>
        <w:rPr>
          <w:rFonts w:ascii="Times New Roman" w:hAnsi="Times New Roman"/>
          <w:sz w:val="24"/>
          <w:szCs w:val="24"/>
        </w:rPr>
      </w:pPr>
      <w:r>
        <w:rPr>
          <w:rFonts w:ascii="Times New Roman" w:hAnsi="Times New Roman"/>
          <w:sz w:val="24"/>
          <w:szCs w:val="24"/>
        </w:rPr>
        <w:t>цена спроса (bid) на момент окончания торговой сессии российской биржи на дату определения СЧА при условии подтверждения ее корректности;</w:t>
      </w:r>
    </w:p>
    <w:p w14:paraId="22AB8E42" w14:textId="77777777" w:rsidR="000C1E0E" w:rsidRDefault="000C1E0E" w:rsidP="000C1E0E">
      <w:pPr>
        <w:keepNext/>
        <w:widowControl w:val="0"/>
        <w:spacing w:before="60" w:after="60" w:line="240" w:lineRule="auto"/>
        <w:ind w:left="720"/>
        <w:outlineLvl w:val="1"/>
        <w:rPr>
          <w:rFonts w:ascii="Times New Roman" w:hAnsi="Times New Roman"/>
          <w:sz w:val="24"/>
          <w:szCs w:val="24"/>
        </w:rPr>
      </w:pPr>
      <w:r>
        <w:rPr>
          <w:rFonts w:ascii="Times New Roman" w:hAnsi="Times New Roman"/>
          <w:sz w:val="24"/>
          <w:szCs w:val="24"/>
        </w:rPr>
        <w:t>цена спроса, определенная на дату определения СЧА, признается корректной, если она находится в интервале между минимальной и максимальной ценами сделок на эту же дату этой же биржи;</w:t>
      </w:r>
    </w:p>
    <w:p w14:paraId="2A7D2FA0" w14:textId="77777777" w:rsidR="000C1E0E" w:rsidRDefault="000C1E0E" w:rsidP="000C1E0E">
      <w:pPr>
        <w:pStyle w:val="afc"/>
        <w:keepNext/>
        <w:widowControl w:val="0"/>
        <w:numPr>
          <w:ilvl w:val="0"/>
          <w:numId w:val="5"/>
        </w:numPr>
        <w:spacing w:before="60" w:after="60" w:line="240" w:lineRule="auto"/>
        <w:jc w:val="both"/>
        <w:outlineLvl w:val="1"/>
        <w:rPr>
          <w:rFonts w:ascii="Times New Roman" w:hAnsi="Times New Roman"/>
          <w:sz w:val="24"/>
          <w:szCs w:val="24"/>
        </w:rPr>
      </w:pPr>
      <w:r>
        <w:rPr>
          <w:rFonts w:ascii="Times New Roman" w:hAnsi="Times New Roman"/>
          <w:sz w:val="24"/>
          <w:szCs w:val="24"/>
        </w:rPr>
        <w:t>средневзвешенная цена на момент окончания торговой сессии российской биржи на дату определения СЧА, при условии ее корректности;</w:t>
      </w:r>
    </w:p>
    <w:p w14:paraId="1F98E910" w14:textId="77777777" w:rsidR="000C1E0E" w:rsidRDefault="000C1E0E" w:rsidP="000C1E0E">
      <w:pPr>
        <w:keepNext/>
        <w:widowControl w:val="0"/>
        <w:spacing w:before="60" w:after="60" w:line="240" w:lineRule="auto"/>
        <w:ind w:left="720"/>
        <w:outlineLvl w:val="1"/>
        <w:rPr>
          <w:rFonts w:ascii="Times New Roman" w:hAnsi="Times New Roman"/>
          <w:sz w:val="24"/>
          <w:szCs w:val="24"/>
        </w:rPr>
      </w:pPr>
      <w:r>
        <w:rPr>
          <w:rFonts w:ascii="Times New Roman" w:hAnsi="Times New Roman"/>
          <w:sz w:val="24"/>
          <w:szCs w:val="24"/>
        </w:rPr>
        <w:t>Средневзвешенная цена, определенная на дату определения СЧА, признается корректной, если данная цена находится в пределах спреда по спросу (bid) и предложению (</w:t>
      </w:r>
      <w:r>
        <w:rPr>
          <w:rFonts w:ascii="Times New Roman" w:hAnsi="Times New Roman"/>
          <w:sz w:val="24"/>
          <w:szCs w:val="24"/>
          <w:lang w:val="en-US"/>
        </w:rPr>
        <w:t>ask</w:t>
      </w:r>
      <w:r>
        <w:rPr>
          <w:rFonts w:ascii="Times New Roman" w:hAnsi="Times New Roman"/>
          <w:sz w:val="24"/>
          <w:szCs w:val="24"/>
        </w:rPr>
        <w:t>) на указанную дату;</w:t>
      </w:r>
    </w:p>
    <w:p w14:paraId="4831DFC8" w14:textId="77777777" w:rsidR="000C1E0E" w:rsidRDefault="000C1E0E" w:rsidP="000C1E0E">
      <w:pPr>
        <w:keepNext/>
        <w:widowControl w:val="0"/>
        <w:spacing w:before="60" w:after="60" w:line="240" w:lineRule="auto"/>
        <w:ind w:left="720"/>
        <w:outlineLvl w:val="1"/>
        <w:rPr>
          <w:rFonts w:ascii="Times New Roman" w:hAnsi="Times New Roman"/>
          <w:sz w:val="24"/>
          <w:szCs w:val="24"/>
        </w:rPr>
      </w:pPr>
      <w:r>
        <w:rPr>
          <w:rFonts w:ascii="Times New Roman" w:hAnsi="Times New Roman"/>
          <w:sz w:val="24"/>
          <w:szCs w:val="24"/>
        </w:rPr>
        <w:t>с) цена закрытия на момент окончания торговой сессии российской биржи на дату определения СЧА при условии подтверждения ее корректности;</w:t>
      </w:r>
    </w:p>
    <w:p w14:paraId="3C62D4BF" w14:textId="77777777" w:rsidR="000C1E0E" w:rsidRDefault="000C1E0E" w:rsidP="000C1E0E">
      <w:pPr>
        <w:keepNext/>
        <w:widowControl w:val="0"/>
        <w:spacing w:before="60" w:after="60" w:line="240" w:lineRule="auto"/>
        <w:ind w:left="708"/>
        <w:outlineLvl w:val="1"/>
        <w:rPr>
          <w:rFonts w:ascii="Times New Roman" w:hAnsi="Times New Roman"/>
          <w:sz w:val="24"/>
          <w:szCs w:val="24"/>
        </w:rPr>
      </w:pPr>
      <w:r>
        <w:rPr>
          <w:rFonts w:ascii="Times New Roman" w:hAnsi="Times New Roman"/>
          <w:sz w:val="24"/>
          <w:szCs w:val="24"/>
        </w:rPr>
        <w:t xml:space="preserve">Цена закрытия признается корректной, если раскрыты данные об объеме торгов за день и объем торгов не равен нулю, с проверкой цены закрытия (CLOSE) &lt; &gt; 0. </w:t>
      </w:r>
    </w:p>
    <w:p w14:paraId="36887C1A" w14:textId="77777777" w:rsidR="000C1E0E" w:rsidRDefault="000C1E0E" w:rsidP="000C1E0E">
      <w:pPr>
        <w:keepNext/>
        <w:widowControl w:val="0"/>
        <w:spacing w:before="60" w:after="60" w:line="240" w:lineRule="auto"/>
        <w:ind w:left="720"/>
        <w:outlineLvl w:val="1"/>
        <w:rPr>
          <w:rFonts w:ascii="Times New Roman" w:hAnsi="Times New Roman"/>
          <w:b/>
          <w:sz w:val="24"/>
          <w:szCs w:val="24"/>
        </w:rPr>
      </w:pPr>
      <w:r>
        <w:rPr>
          <w:rFonts w:ascii="Times New Roman" w:hAnsi="Times New Roman"/>
          <w:b/>
          <w:sz w:val="24"/>
          <w:szCs w:val="24"/>
          <w:u w:val="single"/>
        </w:rPr>
        <w:t>2 уровень цен</w:t>
      </w:r>
      <w:r>
        <w:rPr>
          <w:rFonts w:ascii="Times New Roman" w:hAnsi="Times New Roman"/>
          <w:b/>
          <w:sz w:val="24"/>
          <w:szCs w:val="24"/>
        </w:rPr>
        <w:t>:</w:t>
      </w:r>
    </w:p>
    <w:p w14:paraId="2D0DCDAF" w14:textId="77777777" w:rsidR="000C1E0E" w:rsidRDefault="000C1E0E" w:rsidP="000C1E0E">
      <w:pPr>
        <w:keepNext/>
        <w:widowControl w:val="0"/>
        <w:spacing w:before="60" w:after="60" w:line="240" w:lineRule="auto"/>
        <w:ind w:left="720"/>
        <w:outlineLvl w:val="1"/>
        <w:rPr>
          <w:rFonts w:ascii="Times New Roman" w:hAnsi="Times New Roman"/>
          <w:b/>
          <w:sz w:val="24"/>
          <w:szCs w:val="24"/>
        </w:rPr>
      </w:pPr>
      <w:r>
        <w:rPr>
          <w:rFonts w:ascii="Times New Roman" w:hAnsi="Times New Roman"/>
          <w:sz w:val="24"/>
          <w:szCs w:val="24"/>
        </w:rPr>
        <w:t>а)</w:t>
      </w:r>
      <w:r>
        <w:rPr>
          <w:rFonts w:ascii="Times New Roman" w:hAnsi="Times New Roman"/>
          <w:b/>
          <w:sz w:val="24"/>
          <w:szCs w:val="24"/>
        </w:rPr>
        <w:t xml:space="preserve"> Для акций российских эмитентов.</w:t>
      </w:r>
    </w:p>
    <w:p w14:paraId="05987D0F" w14:textId="77777777" w:rsidR="000C1E0E" w:rsidRDefault="000C1E0E" w:rsidP="000C1E0E">
      <w:pPr>
        <w:keepNext/>
        <w:widowControl w:val="0"/>
        <w:spacing w:before="60" w:after="60" w:line="240" w:lineRule="auto"/>
        <w:ind w:left="720"/>
        <w:outlineLvl w:val="1"/>
        <w:rPr>
          <w:rFonts w:ascii="Times New Roman" w:hAnsi="Times New Roman"/>
          <w:sz w:val="24"/>
          <w:szCs w:val="24"/>
        </w:rPr>
      </w:pPr>
      <w:r>
        <w:rPr>
          <w:rFonts w:ascii="Times New Roman" w:hAnsi="Times New Roman"/>
          <w:sz w:val="24"/>
          <w:szCs w:val="24"/>
        </w:rPr>
        <w:t xml:space="preserve">Справедливая стоимость акций российских эмитентов, обращающихся на российских и иностранных фондовых биржах, определяется в соответствии с моделью оценки, основанной на корректировке исторической цены. Данная корректировка применяется в случае отсутствия наблюдаемой цены в течение не более десяти рабочих дней (далее применяется 3 уровень цен). </w:t>
      </w:r>
    </w:p>
    <w:p w14:paraId="46024AB1" w14:textId="77777777" w:rsidR="000C1E0E" w:rsidRDefault="000C1E0E" w:rsidP="000C1E0E">
      <w:pPr>
        <w:keepNext/>
        <w:widowControl w:val="0"/>
        <w:spacing w:before="60" w:after="60" w:line="240" w:lineRule="auto"/>
        <w:ind w:left="720"/>
        <w:outlineLvl w:val="1"/>
        <w:rPr>
          <w:rFonts w:eastAsia="Batang"/>
          <w:sz w:val="24"/>
          <w:szCs w:val="24"/>
        </w:rPr>
      </w:pPr>
      <w:r>
        <w:rPr>
          <w:rFonts w:eastAsia="Batang"/>
          <w:sz w:val="24"/>
          <w:szCs w:val="24"/>
        </w:rPr>
        <w:t>В случае, если на всех доступных и наблюдаемых биржевых площадках был неторговый день на дату определения справедливой стоимости актива и при условии наличия проведенного анализа данных, подтверждающего, что после даты, по состоянию на которую наблюдалась цена, не произошли существенные события –используются цены на последний торговый день.</w:t>
      </w:r>
    </w:p>
    <w:p w14:paraId="60F84283" w14:textId="77777777" w:rsidR="000C1E0E" w:rsidRDefault="000C1E0E" w:rsidP="000C1E0E">
      <w:pPr>
        <w:keepNext/>
        <w:widowControl w:val="0"/>
        <w:spacing w:before="60" w:after="60" w:line="240" w:lineRule="auto"/>
        <w:ind w:left="720"/>
        <w:outlineLvl w:val="1"/>
        <w:rPr>
          <w:rFonts w:ascii="Times New Roman" w:hAnsi="Times New Roman"/>
          <w:sz w:val="24"/>
          <w:szCs w:val="24"/>
        </w:rPr>
      </w:pPr>
      <w:r>
        <w:rPr>
          <w:rFonts w:ascii="Times New Roman" w:hAnsi="Times New Roman"/>
          <w:sz w:val="24"/>
          <w:szCs w:val="24"/>
        </w:rPr>
        <w:t xml:space="preserve">Для целей оценки справедливой стоимости используется сравнение динамики (доходности за определенный промежуток времени) анализируемого финансового инструмента с динамикой рыночных индикаторов. </w:t>
      </w:r>
    </w:p>
    <w:p w14:paraId="2F1C901B" w14:textId="77777777" w:rsidR="000C1E0E" w:rsidRDefault="000C1E0E" w:rsidP="000C1E0E">
      <w:pPr>
        <w:keepNext/>
        <w:widowControl w:val="0"/>
        <w:spacing w:before="60" w:after="60" w:line="240" w:lineRule="auto"/>
        <w:ind w:left="720"/>
        <w:outlineLvl w:val="1"/>
        <w:rPr>
          <w:rFonts w:ascii="Times New Roman" w:hAnsi="Times New Roman"/>
          <w:sz w:val="24"/>
          <w:szCs w:val="24"/>
        </w:rPr>
      </w:pPr>
      <w:r>
        <w:rPr>
          <w:rFonts w:ascii="Times New Roman" w:hAnsi="Times New Roman"/>
          <w:sz w:val="24"/>
          <w:szCs w:val="24"/>
        </w:rPr>
        <w:t>Рыночный индикатор выбирается в зависимости от государства регистрации биржи, являющейся Основным рынком для оцениваемой акции на дату, предшествующую дате определения СЧА, из нижеперечисленных:</w:t>
      </w:r>
    </w:p>
    <w:p w14:paraId="75D12097" w14:textId="77777777" w:rsidR="000C1E0E" w:rsidRDefault="000C1E0E" w:rsidP="000C1E0E">
      <w:pPr>
        <w:keepNext/>
        <w:widowControl w:val="0"/>
        <w:spacing w:before="60" w:after="60" w:line="240" w:lineRule="auto"/>
        <w:ind w:left="720"/>
        <w:outlineLvl w:val="1"/>
        <w:rPr>
          <w:rFonts w:ascii="Times New Roman" w:hAnsi="Times New Roman"/>
          <w:sz w:val="24"/>
          <w:szCs w:val="24"/>
        </w:rPr>
      </w:pPr>
      <w:r>
        <w:rPr>
          <w:rFonts w:ascii="Times New Roman" w:hAnsi="Times New Roman"/>
          <w:sz w:val="24"/>
          <w:szCs w:val="24"/>
        </w:rPr>
        <w:t xml:space="preserve">S&amp;P/ASX-200 (Австралия), ATX (Австрия), BEL20, (Бельгия), FTSE 100 (Великобритания), Hang Seng (Специальный административный район Гонконг Китайской Народной Республики), DAX (Германия), OMX Copenhagen 20 (Дания), ISEQ 20 (Ирландия), ICEX (Исландия), IBEX 35 (Испания) , FTSE MIB (Италия), S&amp;P/TSX (Канада), IPC (Мексика), AEX Index (Нидерланды), PSI 20 (Португалия), </w:t>
      </w:r>
      <w:r>
        <w:rPr>
          <w:rFonts w:ascii="Times New Roman" w:hAnsi="Times New Roman"/>
          <w:sz w:val="24"/>
          <w:szCs w:val="24"/>
          <w:lang w:val="en-US"/>
        </w:rPr>
        <w:t>IMOEX</w:t>
      </w:r>
      <w:r>
        <w:rPr>
          <w:rFonts w:ascii="Times New Roman" w:hAnsi="Times New Roman"/>
          <w:sz w:val="24"/>
          <w:szCs w:val="24"/>
        </w:rPr>
        <w:t xml:space="preserve"> (Россия), S&amp;P 500 (США), OMX Helsinki 25 (Финляндия), CAC 40 (Франция), IPSA (Чили), SMI (Швейцария), OMXS30 (Швеция), Tallinn SE General (Эстония), Nikkei 225 (Япония), MSCI World Index (иные государства).</w:t>
      </w:r>
    </w:p>
    <w:p w14:paraId="72DC3750" w14:textId="77777777" w:rsidR="000C1E0E" w:rsidRDefault="000C1E0E" w:rsidP="000C1E0E">
      <w:pPr>
        <w:keepNext/>
        <w:widowControl w:val="0"/>
        <w:spacing w:before="60" w:after="60" w:line="240" w:lineRule="auto"/>
        <w:ind w:left="720"/>
        <w:outlineLvl w:val="1"/>
        <w:rPr>
          <w:rFonts w:ascii="Times New Roman" w:hAnsi="Times New Roman"/>
          <w:sz w:val="24"/>
          <w:szCs w:val="24"/>
        </w:rPr>
      </w:pPr>
      <w:r>
        <w:rPr>
          <w:rFonts w:ascii="Times New Roman" w:hAnsi="Times New Roman"/>
          <w:sz w:val="24"/>
          <w:szCs w:val="24"/>
        </w:rPr>
        <w:t xml:space="preserve">По депозитарным распискам возможно использование рыночных индикаторов в отношении базовых активов. </w:t>
      </w:r>
    </w:p>
    <w:p w14:paraId="0542FF03" w14:textId="77777777" w:rsidR="000C1E0E" w:rsidRDefault="000C1E0E" w:rsidP="000C1E0E">
      <w:pPr>
        <w:keepNext/>
        <w:widowControl w:val="0"/>
        <w:spacing w:before="60" w:after="60" w:line="240" w:lineRule="auto"/>
        <w:ind w:left="720"/>
        <w:outlineLvl w:val="1"/>
        <w:rPr>
          <w:rFonts w:ascii="Times New Roman" w:hAnsi="Times New Roman"/>
          <w:sz w:val="24"/>
          <w:szCs w:val="24"/>
        </w:rPr>
      </w:pPr>
      <w:r>
        <w:rPr>
          <w:rFonts w:ascii="Times New Roman" w:hAnsi="Times New Roman"/>
          <w:sz w:val="24"/>
          <w:szCs w:val="24"/>
        </w:rPr>
        <w:t xml:space="preserve">В случае если валюта индекса отличается от валюты оцениваемой ценной бумаги, расчет производится с учетом курсовой разницы по курсу Банка России.  </w:t>
      </w:r>
      <w:r>
        <w:rPr>
          <w:rFonts w:ascii="Times New Roman" w:hAnsi="Times New Roman"/>
          <w:sz w:val="24"/>
          <w:szCs w:val="24"/>
        </w:rPr>
        <w:br/>
        <w:t>Справедливая стоимость акций рассчитывается по формуле:</w:t>
      </w:r>
    </w:p>
    <w:p w14:paraId="763DCECF" w14:textId="77777777" w:rsidR="000C1E0E" w:rsidRDefault="000C1E0E" w:rsidP="000C1E0E">
      <w:pPr>
        <w:keepNext/>
        <w:widowControl w:val="0"/>
        <w:spacing w:before="60" w:after="60" w:line="240" w:lineRule="auto"/>
        <w:ind w:left="720"/>
        <w:outlineLvl w:val="1"/>
        <w:rPr>
          <w:rFonts w:ascii="Times New Roman" w:hAnsi="Times New Roman"/>
          <w:sz w:val="24"/>
          <w:szCs w:val="24"/>
        </w:rPr>
      </w:pPr>
    </w:p>
    <w:p w14:paraId="3C33C84C" w14:textId="77777777" w:rsidR="000C1E0E" w:rsidRPr="00C375C8" w:rsidRDefault="000C1E0E" w:rsidP="000C1E0E">
      <w:pPr>
        <w:keepNext/>
        <w:widowControl w:val="0"/>
        <w:spacing w:before="60" w:after="60" w:line="240" w:lineRule="auto"/>
        <w:ind w:left="720"/>
        <w:outlineLvl w:val="1"/>
        <w:rPr>
          <w:rFonts w:ascii="Times New Roman" w:hAnsi="Times New Roman"/>
          <w:sz w:val="24"/>
          <w:szCs w:val="24"/>
        </w:rPr>
      </w:pPr>
      <w:r>
        <w:rPr>
          <w:rFonts w:ascii="Times New Roman" w:hAnsi="Times New Roman"/>
          <w:sz w:val="24"/>
          <w:szCs w:val="24"/>
          <w:lang w:val="en-US"/>
        </w:rPr>
        <w:t>P</w:t>
      </w:r>
      <w:r w:rsidRPr="00C375C8">
        <w:rPr>
          <w:rFonts w:ascii="Times New Roman" w:hAnsi="Times New Roman"/>
          <w:sz w:val="24"/>
          <w:szCs w:val="24"/>
        </w:rPr>
        <w:t xml:space="preserve">1= </w:t>
      </w:r>
      <w:r>
        <w:rPr>
          <w:rFonts w:ascii="Times New Roman" w:hAnsi="Times New Roman"/>
          <w:sz w:val="24"/>
          <w:szCs w:val="24"/>
          <w:lang w:val="en-US"/>
        </w:rPr>
        <w:t>P</w:t>
      </w:r>
      <w:r w:rsidRPr="00C375C8">
        <w:rPr>
          <w:rFonts w:ascii="Times New Roman" w:hAnsi="Times New Roman"/>
          <w:sz w:val="24"/>
          <w:szCs w:val="24"/>
        </w:rPr>
        <w:t>0 * (</w:t>
      </w:r>
      <w:r>
        <w:rPr>
          <w:rFonts w:ascii="Times New Roman" w:hAnsi="Times New Roman"/>
          <w:sz w:val="24"/>
          <w:szCs w:val="24"/>
          <w:lang w:val="en-US"/>
        </w:rPr>
        <w:t>E</w:t>
      </w:r>
      <w:r w:rsidRPr="00C375C8">
        <w:rPr>
          <w:rFonts w:ascii="Times New Roman" w:hAnsi="Times New Roman"/>
          <w:sz w:val="24"/>
          <w:szCs w:val="24"/>
        </w:rPr>
        <w:t>(</w:t>
      </w:r>
      <w:r>
        <w:rPr>
          <w:rFonts w:ascii="Times New Roman" w:hAnsi="Times New Roman"/>
          <w:sz w:val="24"/>
          <w:szCs w:val="24"/>
          <w:lang w:val="en-US"/>
        </w:rPr>
        <w:t>R</w:t>
      </w:r>
      <w:r w:rsidRPr="00C375C8">
        <w:rPr>
          <w:rFonts w:ascii="Times New Roman" w:hAnsi="Times New Roman"/>
          <w:sz w:val="24"/>
          <w:szCs w:val="24"/>
        </w:rPr>
        <w:t>) + 1)</w:t>
      </w:r>
    </w:p>
    <w:p w14:paraId="2997D112" w14:textId="3AA5E6C7" w:rsidR="000C1E0E" w:rsidRDefault="000C1E0E" w:rsidP="000C1E0E">
      <w:pPr>
        <w:keepNext/>
        <w:widowControl w:val="0"/>
        <w:spacing w:before="60" w:after="60" w:line="240" w:lineRule="auto"/>
        <w:ind w:left="720"/>
        <w:outlineLvl w:val="1"/>
        <w:rPr>
          <w:rFonts w:ascii="Times New Roman" w:hAnsi="Times New Roman"/>
          <w:sz w:val="24"/>
          <w:szCs w:val="24"/>
          <w:lang w:val="en-US"/>
        </w:rPr>
      </w:pPr>
      <w:r>
        <w:rPr>
          <w:rFonts w:ascii="Times New Roman" w:hAnsi="Times New Roman"/>
          <w:sz w:val="24"/>
          <w:szCs w:val="24"/>
          <w:lang w:val="en-US"/>
        </w:rPr>
        <w:t xml:space="preserve">E(R) = Rf ′+ </w:t>
      </w:r>
      <w:r>
        <w:rPr>
          <w:rFonts w:ascii="Times New Roman" w:hAnsi="Times New Roman"/>
          <w:sz w:val="24"/>
          <w:szCs w:val="24"/>
        </w:rPr>
        <w:t>β</w:t>
      </w:r>
      <w:r>
        <w:rPr>
          <w:rFonts w:ascii="Times New Roman" w:hAnsi="Times New Roman"/>
          <w:sz w:val="24"/>
          <w:szCs w:val="24"/>
          <w:lang w:val="en-US"/>
        </w:rPr>
        <w:t xml:space="preserve"> * (Rm - Rf)</w:t>
      </w:r>
    </w:p>
    <w:p w14:paraId="403C61A0" w14:textId="77777777" w:rsidR="000C1E0E" w:rsidRDefault="00C74876" w:rsidP="000C1E0E">
      <w:pPr>
        <w:jc w:val="center"/>
        <w:rPr>
          <w:sz w:val="20"/>
        </w:rPr>
      </w:pPr>
      <m:oMathPara>
        <m:oMath>
          <m:sSub>
            <m:sSubPr>
              <m:ctrlPr>
                <w:rPr>
                  <w:rFonts w:ascii="Cambria Math" w:hAnsi="Cambria Math"/>
                </w:rPr>
              </m:ctrlPr>
            </m:sSubPr>
            <m:e>
              <m:r>
                <m:rPr>
                  <m:sty m:val="p"/>
                </m:rPr>
                <w:rPr>
                  <w:rFonts w:ascii="Cambria Math" w:hAnsi="Cambria Math"/>
                  <w:sz w:val="20"/>
                </w:rPr>
                <m:t>R</m:t>
              </m:r>
            </m:e>
            <m:sub>
              <m:r>
                <m:rPr>
                  <m:sty m:val="p"/>
                </m:rPr>
                <w:rPr>
                  <w:rFonts w:ascii="Cambria Math" w:hAnsi="Cambria Math"/>
                  <w:sz w:val="20"/>
                </w:rPr>
                <m:t>m</m:t>
              </m:r>
            </m:sub>
          </m:sSub>
          <m:r>
            <m:rPr>
              <m:sty m:val="p"/>
            </m:rPr>
            <w:rPr>
              <w:rFonts w:ascii="Cambria Math" w:hAnsi="Cambria Math"/>
              <w:sz w:val="20"/>
            </w:rPr>
            <m:t>=</m:t>
          </m:r>
          <m:f>
            <m:fPr>
              <m:ctrlPr>
                <w:rPr>
                  <w:rFonts w:ascii="Cambria Math" w:hAnsi="Cambria Math"/>
                </w:rPr>
              </m:ctrlPr>
            </m:fPr>
            <m:num>
              <m:sSub>
                <m:sSubPr>
                  <m:ctrlPr>
                    <w:rPr>
                      <w:rFonts w:ascii="Cambria Math" w:hAnsi="Cambria Math"/>
                    </w:rPr>
                  </m:ctrlPr>
                </m:sSubPr>
                <m:e>
                  <m:r>
                    <m:rPr>
                      <m:sty m:val="p"/>
                    </m:rPr>
                    <w:rPr>
                      <w:rFonts w:ascii="Cambria Math" w:hAnsi="Cambria Math"/>
                      <w:sz w:val="20"/>
                    </w:rPr>
                    <m:t>Pm</m:t>
                  </m:r>
                </m:e>
                <m:sub>
                  <m:r>
                    <m:rPr>
                      <m:sty m:val="p"/>
                    </m:rPr>
                    <w:rPr>
                      <w:rFonts w:ascii="Cambria Math" w:hAnsi="Cambria Math"/>
                      <w:sz w:val="20"/>
                    </w:rPr>
                    <m:t>1</m:t>
                  </m:r>
                </m:sub>
              </m:sSub>
            </m:num>
            <m:den>
              <m:sSub>
                <m:sSubPr>
                  <m:ctrlPr>
                    <w:rPr>
                      <w:rFonts w:ascii="Cambria Math" w:hAnsi="Cambria Math"/>
                    </w:rPr>
                  </m:ctrlPr>
                </m:sSubPr>
                <m:e>
                  <m:r>
                    <m:rPr>
                      <m:sty m:val="p"/>
                    </m:rPr>
                    <w:rPr>
                      <w:rFonts w:ascii="Cambria Math" w:hAnsi="Cambria Math"/>
                      <w:sz w:val="20"/>
                    </w:rPr>
                    <m:t>Pm</m:t>
                  </m:r>
                </m:e>
                <m:sub>
                  <m:r>
                    <m:rPr>
                      <m:sty m:val="p"/>
                    </m:rPr>
                    <w:rPr>
                      <w:rFonts w:ascii="Cambria Math" w:hAnsi="Cambria Math"/>
                      <w:sz w:val="20"/>
                    </w:rPr>
                    <m:t>0</m:t>
                  </m:r>
                </m:sub>
              </m:sSub>
            </m:den>
          </m:f>
          <m:r>
            <m:rPr>
              <m:sty m:val="p"/>
            </m:rPr>
            <w:rPr>
              <w:rFonts w:ascii="Cambria Math" w:hAnsi="Cambria Math"/>
              <w:sz w:val="20"/>
            </w:rPr>
            <m:t>-1</m:t>
          </m:r>
        </m:oMath>
      </m:oMathPara>
    </w:p>
    <w:p w14:paraId="677A18E8" w14:textId="77777777" w:rsidR="000C1E0E" w:rsidRDefault="000C1E0E" w:rsidP="000C1E0E">
      <w:pPr>
        <w:keepNext/>
        <w:widowControl w:val="0"/>
        <w:spacing w:before="60" w:after="60" w:line="240" w:lineRule="auto"/>
        <w:ind w:left="720"/>
        <w:outlineLvl w:val="1"/>
        <w:rPr>
          <w:rFonts w:ascii="Times New Roman" w:hAnsi="Times New Roman"/>
          <w:sz w:val="24"/>
          <w:szCs w:val="24"/>
        </w:rPr>
      </w:pPr>
      <w:r>
        <w:rPr>
          <w:rFonts w:ascii="Times New Roman" w:hAnsi="Times New Roman"/>
          <w:sz w:val="24"/>
          <w:szCs w:val="24"/>
        </w:rPr>
        <w:t>где:</w:t>
      </w:r>
    </w:p>
    <w:p w14:paraId="521A57B1" w14:textId="046F67BC" w:rsidR="000C1E0E" w:rsidRDefault="00E06251" w:rsidP="000C1E0E">
      <w:pPr>
        <w:keepNext/>
        <w:widowControl w:val="0"/>
        <w:spacing w:before="60" w:after="60" w:line="240" w:lineRule="auto"/>
        <w:ind w:left="720"/>
        <w:outlineLvl w:val="1"/>
        <w:rPr>
          <w:rFonts w:ascii="Times New Roman" w:hAnsi="Times New Roman"/>
          <w:sz w:val="24"/>
          <w:szCs w:val="24"/>
        </w:rPr>
      </w:pPr>
      <w:r>
        <w:rPr>
          <w:rFonts w:ascii="Times New Roman" w:hAnsi="Times New Roman"/>
          <w:sz w:val="24"/>
          <w:szCs w:val="24"/>
        </w:rPr>
        <w:t xml:space="preserve">P1 </w:t>
      </w:r>
      <w:r w:rsidR="000C1E0E">
        <w:rPr>
          <w:rFonts w:ascii="Times New Roman" w:hAnsi="Times New Roman"/>
          <w:sz w:val="24"/>
          <w:szCs w:val="24"/>
        </w:rPr>
        <w:t>- справедливая стоимость одной ценной бумаги на дату определения справедливой стоимости</w:t>
      </w:r>
    </w:p>
    <w:p w14:paraId="57A31237" w14:textId="77777777" w:rsidR="000C1E0E" w:rsidRDefault="000C1E0E" w:rsidP="000C1E0E">
      <w:pPr>
        <w:keepNext/>
        <w:widowControl w:val="0"/>
        <w:spacing w:before="60" w:after="60" w:line="240" w:lineRule="auto"/>
        <w:ind w:left="720"/>
        <w:outlineLvl w:val="1"/>
        <w:rPr>
          <w:rFonts w:ascii="Times New Roman" w:hAnsi="Times New Roman"/>
          <w:sz w:val="24"/>
          <w:szCs w:val="24"/>
        </w:rPr>
      </w:pPr>
      <w:r>
        <w:rPr>
          <w:rFonts w:ascii="Times New Roman" w:hAnsi="Times New Roman"/>
          <w:sz w:val="24"/>
          <w:szCs w:val="24"/>
        </w:rPr>
        <w:t xml:space="preserve">P0 - последняя определенная справедливая стоимость ценной бумаги </w:t>
      </w:r>
    </w:p>
    <w:p w14:paraId="25FEBDEB" w14:textId="77777777" w:rsidR="000C1E0E" w:rsidRDefault="000C1E0E" w:rsidP="000C1E0E">
      <w:pPr>
        <w:keepNext/>
        <w:widowControl w:val="0"/>
        <w:spacing w:before="60" w:after="60" w:line="240" w:lineRule="auto"/>
        <w:ind w:left="720"/>
        <w:outlineLvl w:val="1"/>
        <w:rPr>
          <w:rFonts w:ascii="Times New Roman" w:hAnsi="Times New Roman"/>
          <w:sz w:val="24"/>
          <w:szCs w:val="24"/>
        </w:rPr>
      </w:pPr>
      <w:r>
        <w:rPr>
          <w:rFonts w:ascii="Times New Roman" w:hAnsi="Times New Roman"/>
          <w:sz w:val="24"/>
          <w:szCs w:val="24"/>
        </w:rPr>
        <w:t>E(R) – ожидаемая доходность ценной бумаги</w:t>
      </w:r>
    </w:p>
    <w:p w14:paraId="38C8B677" w14:textId="77777777" w:rsidR="000C1E0E" w:rsidRDefault="000C1E0E" w:rsidP="000C1E0E">
      <w:pPr>
        <w:keepNext/>
        <w:widowControl w:val="0"/>
        <w:spacing w:before="60" w:after="60" w:line="240" w:lineRule="auto"/>
        <w:ind w:left="720"/>
        <w:outlineLvl w:val="1"/>
        <w:rPr>
          <w:rFonts w:ascii="Times New Roman" w:hAnsi="Times New Roman"/>
          <w:sz w:val="24"/>
          <w:szCs w:val="24"/>
        </w:rPr>
      </w:pPr>
      <w:r>
        <w:rPr>
          <w:rFonts w:ascii="Times New Roman" w:hAnsi="Times New Roman"/>
          <w:sz w:val="24"/>
          <w:szCs w:val="24"/>
        </w:rPr>
        <w:t>Rm – доходность рыночного индикатора</w:t>
      </w:r>
    </w:p>
    <w:p w14:paraId="070CC1C2" w14:textId="77777777" w:rsidR="000C1E0E" w:rsidRDefault="000C1E0E" w:rsidP="000C1E0E">
      <w:pPr>
        <w:keepNext/>
        <w:widowControl w:val="0"/>
        <w:spacing w:before="60" w:after="60" w:line="240" w:lineRule="auto"/>
        <w:ind w:left="720"/>
        <w:outlineLvl w:val="1"/>
        <w:rPr>
          <w:rFonts w:ascii="Times New Roman" w:hAnsi="Times New Roman"/>
          <w:sz w:val="24"/>
          <w:szCs w:val="24"/>
        </w:rPr>
      </w:pPr>
      <w:r>
        <w:rPr>
          <w:rFonts w:ascii="Times New Roman" w:hAnsi="Times New Roman"/>
          <w:sz w:val="24"/>
          <w:szCs w:val="24"/>
        </w:rPr>
        <w:t>Pm1 - значение рыночного индикатора на дату определения справедливой стоимости</w:t>
      </w:r>
    </w:p>
    <w:p w14:paraId="0F71F0BE" w14:textId="77777777" w:rsidR="000C1E0E" w:rsidRDefault="000C1E0E" w:rsidP="000C1E0E">
      <w:pPr>
        <w:keepNext/>
        <w:widowControl w:val="0"/>
        <w:spacing w:before="60" w:after="60" w:line="240" w:lineRule="auto"/>
        <w:ind w:left="720"/>
        <w:outlineLvl w:val="1"/>
        <w:rPr>
          <w:rFonts w:ascii="Times New Roman" w:hAnsi="Times New Roman"/>
          <w:sz w:val="24"/>
          <w:szCs w:val="24"/>
        </w:rPr>
      </w:pPr>
      <w:r>
        <w:rPr>
          <w:rFonts w:ascii="Times New Roman" w:hAnsi="Times New Roman"/>
          <w:sz w:val="24"/>
          <w:szCs w:val="24"/>
        </w:rPr>
        <w:t>Pm0 - значение рыночного индикатора на предыдущую дату определения справедливой стоимости</w:t>
      </w:r>
    </w:p>
    <w:p w14:paraId="212D6485" w14:textId="77777777" w:rsidR="000C1E0E" w:rsidRDefault="000C1E0E" w:rsidP="000C1E0E">
      <w:pPr>
        <w:keepNext/>
        <w:widowControl w:val="0"/>
        <w:spacing w:before="60" w:after="60" w:line="240" w:lineRule="auto"/>
        <w:ind w:left="720"/>
        <w:outlineLvl w:val="1"/>
        <w:rPr>
          <w:rFonts w:ascii="Times New Roman" w:hAnsi="Times New Roman"/>
          <w:sz w:val="24"/>
          <w:szCs w:val="24"/>
        </w:rPr>
      </w:pPr>
      <w:r>
        <w:rPr>
          <w:rFonts w:ascii="Times New Roman" w:hAnsi="Times New Roman"/>
          <w:sz w:val="24"/>
          <w:szCs w:val="24"/>
        </w:rPr>
        <w:t>Rf - безрисковая ставка доходности.</w:t>
      </w:r>
    </w:p>
    <w:p w14:paraId="6575FE55" w14:textId="77777777" w:rsidR="000C1E0E" w:rsidRDefault="000C1E0E" w:rsidP="000C1E0E">
      <w:pPr>
        <w:keepNext/>
        <w:widowControl w:val="0"/>
        <w:spacing w:before="60" w:after="60" w:line="240" w:lineRule="auto"/>
        <w:ind w:left="720"/>
        <w:outlineLvl w:val="1"/>
        <w:rPr>
          <w:rFonts w:ascii="Times New Roman" w:hAnsi="Times New Roman"/>
          <w:sz w:val="24"/>
          <w:szCs w:val="24"/>
        </w:rPr>
      </w:pPr>
      <w:r>
        <w:rPr>
          <w:rFonts w:ascii="Times New Roman" w:hAnsi="Times New Roman"/>
          <w:sz w:val="24"/>
          <w:szCs w:val="24"/>
        </w:rPr>
        <w:t>Безрисковая ставка доходности определяется на дату определенная справедливой стоимости. Безрисковая ставка доходности приводится к количеству календарных дней между датами ее расчета по формуле:</w:t>
      </w:r>
    </w:p>
    <w:p w14:paraId="7AAAEFAC" w14:textId="77777777" w:rsidR="000C1E0E" w:rsidRDefault="000C1E0E" w:rsidP="000C1E0E">
      <w:pPr>
        <w:keepNext/>
        <w:widowControl w:val="0"/>
        <w:spacing w:before="60" w:after="60" w:line="240" w:lineRule="auto"/>
        <w:ind w:left="720"/>
        <w:outlineLvl w:val="1"/>
        <w:rPr>
          <w:rFonts w:ascii="Times New Roman" w:hAnsi="Times New Roman"/>
          <w:sz w:val="24"/>
          <w:szCs w:val="24"/>
        </w:rPr>
      </w:pPr>
      <w:r>
        <w:rPr>
          <w:rFonts w:ascii="Times New Roman" w:hAnsi="Times New Roman"/>
          <w:sz w:val="24"/>
          <w:szCs w:val="24"/>
        </w:rPr>
        <w:t>Rf ′ = (Rf/365(366)) х (T1 – T0)</w:t>
      </w:r>
    </w:p>
    <w:p w14:paraId="0AB98FCD" w14:textId="77777777" w:rsidR="000C1E0E" w:rsidRDefault="000C1E0E" w:rsidP="000C1E0E">
      <w:pPr>
        <w:keepNext/>
        <w:widowControl w:val="0"/>
        <w:spacing w:before="60" w:after="60" w:line="240" w:lineRule="auto"/>
        <w:ind w:left="720"/>
        <w:outlineLvl w:val="1"/>
        <w:rPr>
          <w:rFonts w:ascii="Times New Roman" w:hAnsi="Times New Roman"/>
          <w:sz w:val="24"/>
          <w:szCs w:val="24"/>
        </w:rPr>
      </w:pPr>
      <w:r>
        <w:rPr>
          <w:rFonts w:ascii="Times New Roman" w:hAnsi="Times New Roman"/>
          <w:sz w:val="24"/>
          <w:szCs w:val="24"/>
        </w:rPr>
        <w:t xml:space="preserve">где, </w:t>
      </w:r>
    </w:p>
    <w:p w14:paraId="0BCE57C2" w14:textId="77777777" w:rsidR="000C1E0E" w:rsidRDefault="000C1E0E" w:rsidP="000C1E0E">
      <w:pPr>
        <w:keepNext/>
        <w:widowControl w:val="0"/>
        <w:spacing w:before="60" w:after="60" w:line="240" w:lineRule="auto"/>
        <w:ind w:left="720"/>
        <w:outlineLvl w:val="1"/>
        <w:rPr>
          <w:rFonts w:ascii="Times New Roman" w:hAnsi="Times New Roman"/>
          <w:sz w:val="24"/>
          <w:szCs w:val="24"/>
        </w:rPr>
      </w:pPr>
      <w:r>
        <w:rPr>
          <w:rFonts w:ascii="Times New Roman" w:hAnsi="Times New Roman"/>
          <w:sz w:val="24"/>
          <w:szCs w:val="24"/>
        </w:rPr>
        <w:t>(T1 – T0) – количество календарных дней между указанными данными</w:t>
      </w:r>
    </w:p>
    <w:p w14:paraId="06096E5E" w14:textId="77777777" w:rsidR="000C1E0E" w:rsidRDefault="000C1E0E" w:rsidP="000C1E0E">
      <w:pPr>
        <w:keepNext/>
        <w:widowControl w:val="0"/>
        <w:spacing w:before="60" w:after="60" w:line="240" w:lineRule="auto"/>
        <w:ind w:left="720"/>
        <w:outlineLvl w:val="1"/>
        <w:rPr>
          <w:rFonts w:ascii="Times New Roman" w:hAnsi="Times New Roman"/>
          <w:sz w:val="24"/>
          <w:szCs w:val="24"/>
        </w:rPr>
      </w:pPr>
      <w:r>
        <w:rPr>
          <w:rFonts w:ascii="Times New Roman" w:hAnsi="Times New Roman"/>
          <w:sz w:val="24"/>
          <w:szCs w:val="24"/>
        </w:rPr>
        <w:t>T1 – дата определения справедливой стоимости</w:t>
      </w:r>
    </w:p>
    <w:p w14:paraId="32DBCB2A" w14:textId="77777777" w:rsidR="000C1E0E" w:rsidRDefault="000C1E0E" w:rsidP="000C1E0E">
      <w:pPr>
        <w:keepNext/>
        <w:widowControl w:val="0"/>
        <w:spacing w:before="60" w:after="60" w:line="240" w:lineRule="auto"/>
        <w:ind w:left="720"/>
        <w:outlineLvl w:val="1"/>
        <w:rPr>
          <w:rFonts w:ascii="Times New Roman" w:hAnsi="Times New Roman"/>
          <w:sz w:val="24"/>
          <w:szCs w:val="24"/>
        </w:rPr>
      </w:pPr>
      <w:r>
        <w:rPr>
          <w:rFonts w:ascii="Times New Roman" w:hAnsi="Times New Roman"/>
          <w:sz w:val="24"/>
          <w:szCs w:val="24"/>
        </w:rPr>
        <w:t>T0 – предыдущая дата определения справедливой стоимости</w:t>
      </w:r>
    </w:p>
    <w:p w14:paraId="350DDAE2" w14:textId="77777777" w:rsidR="000C1E0E" w:rsidRDefault="000C1E0E" w:rsidP="000C1E0E">
      <w:pPr>
        <w:keepNext/>
        <w:widowControl w:val="0"/>
        <w:spacing w:before="60" w:after="60" w:line="240" w:lineRule="auto"/>
        <w:ind w:left="720"/>
        <w:outlineLvl w:val="1"/>
        <w:rPr>
          <w:rFonts w:ascii="Times New Roman" w:hAnsi="Times New Roman"/>
          <w:sz w:val="24"/>
          <w:szCs w:val="24"/>
        </w:rPr>
      </w:pPr>
    </w:p>
    <w:p w14:paraId="6F92D4A9" w14:textId="77777777" w:rsidR="000C1E0E" w:rsidRDefault="000C1E0E" w:rsidP="000C1E0E">
      <w:pPr>
        <w:keepNext/>
        <w:widowControl w:val="0"/>
        <w:spacing w:before="60" w:after="60" w:line="240" w:lineRule="auto"/>
        <w:ind w:left="720"/>
        <w:outlineLvl w:val="1"/>
        <w:rPr>
          <w:rFonts w:ascii="Times New Roman" w:hAnsi="Times New Roman"/>
          <w:sz w:val="24"/>
          <w:szCs w:val="24"/>
        </w:rPr>
      </w:pPr>
      <w:r>
        <w:rPr>
          <w:rFonts w:ascii="Times New Roman" w:hAnsi="Times New Roman"/>
          <w:sz w:val="24"/>
          <w:szCs w:val="24"/>
        </w:rPr>
        <w:t>Для акций российских эмитентов безрисковая ставка доходности - ставка, определенная в соответствии со значением кривой бескупонной доходности (ставка КБД) государственных ценных бумаг на интервале в один год. В расчете используются:</w:t>
      </w:r>
    </w:p>
    <w:p w14:paraId="6EF538F3" w14:textId="77777777" w:rsidR="000C1E0E" w:rsidRDefault="000C1E0E" w:rsidP="000C1E0E">
      <w:pPr>
        <w:spacing w:after="200" w:line="276" w:lineRule="auto"/>
        <w:ind w:left="720"/>
        <w:contextualSpacing/>
        <w:jc w:val="left"/>
        <w:rPr>
          <w:rFonts w:ascii="Times New Roman" w:hAnsi="Times New Roman"/>
          <w:sz w:val="24"/>
          <w:szCs w:val="24"/>
        </w:rPr>
      </w:pPr>
      <w:r>
        <w:rPr>
          <w:rFonts w:ascii="Times New Roman" w:hAnsi="Times New Roman"/>
          <w:sz w:val="24"/>
          <w:szCs w:val="24"/>
        </w:rPr>
        <w:t>- методика расчёта кривой бескупонной доходности государственных облигаций, определенная Московской биржей;</w:t>
      </w:r>
    </w:p>
    <w:p w14:paraId="5096AF26" w14:textId="77777777" w:rsidR="000C1E0E" w:rsidRDefault="000C1E0E" w:rsidP="000C1E0E">
      <w:pPr>
        <w:spacing w:after="200" w:line="276" w:lineRule="auto"/>
        <w:ind w:left="720"/>
        <w:contextualSpacing/>
        <w:jc w:val="left"/>
        <w:rPr>
          <w:rFonts w:ascii="Times New Roman" w:hAnsi="Times New Roman"/>
          <w:sz w:val="24"/>
          <w:szCs w:val="24"/>
        </w:rPr>
      </w:pPr>
      <w:r>
        <w:rPr>
          <w:rFonts w:ascii="Times New Roman" w:hAnsi="Times New Roman"/>
          <w:sz w:val="24"/>
          <w:szCs w:val="24"/>
        </w:rPr>
        <w:t>- динамические параметры G-кривой по состоянию на каждый торговый день, публикуемые на официальном сайте Московской биржи.</w:t>
      </w:r>
    </w:p>
    <w:p w14:paraId="3FCA1BCC" w14:textId="77777777" w:rsidR="000C1E0E" w:rsidRDefault="000C1E0E" w:rsidP="000C1E0E">
      <w:pPr>
        <w:spacing w:line="276" w:lineRule="auto"/>
        <w:ind w:left="708"/>
        <w:rPr>
          <w:rFonts w:ascii="Times New Roman" w:hAnsi="Times New Roman"/>
          <w:sz w:val="24"/>
          <w:szCs w:val="24"/>
        </w:rPr>
      </w:pPr>
      <w:r>
        <w:rPr>
          <w:rFonts w:ascii="Times New Roman" w:hAnsi="Times New Roman"/>
          <w:sz w:val="24"/>
          <w:szCs w:val="24"/>
        </w:rPr>
        <w:t>Ставка КБД рассчитывается без промежуточных округлений с точностью до 2 знаков после запятой (в процентном выражении).</w:t>
      </w:r>
    </w:p>
    <w:p w14:paraId="47993687" w14:textId="6A12094A" w:rsidR="000C1E0E" w:rsidRDefault="000C1E0E" w:rsidP="000C1E0E">
      <w:pPr>
        <w:keepNext/>
        <w:widowControl w:val="0"/>
        <w:spacing w:before="60" w:after="60" w:line="240" w:lineRule="auto"/>
        <w:ind w:left="720"/>
        <w:outlineLvl w:val="1"/>
        <w:rPr>
          <w:rFonts w:ascii="Times New Roman" w:hAnsi="Times New Roman"/>
          <w:sz w:val="24"/>
          <w:szCs w:val="24"/>
        </w:rPr>
      </w:pPr>
      <w:r>
        <w:rPr>
          <w:rFonts w:ascii="Times New Roman" w:hAnsi="Times New Roman"/>
          <w:sz w:val="24"/>
          <w:szCs w:val="24"/>
        </w:rPr>
        <w:t>β -  коэффициент «бета», рассчитанный по изменениям цен (значений) рыночного индикатора и изменениям цены закрытия ценной бумаги.</w:t>
      </w:r>
    </w:p>
    <w:p w14:paraId="5BCDB594" w14:textId="77777777" w:rsidR="000C1E0E" w:rsidRDefault="000C1E0E" w:rsidP="000C1E0E">
      <w:pPr>
        <w:spacing w:line="276" w:lineRule="auto"/>
        <w:ind w:left="708"/>
        <w:rPr>
          <w:rFonts w:ascii="Times New Roman" w:hAnsi="Times New Roman"/>
          <w:sz w:val="24"/>
          <w:szCs w:val="24"/>
        </w:rPr>
      </w:pPr>
      <w:r>
        <w:rPr>
          <w:rFonts w:ascii="Times New Roman" w:hAnsi="Times New Roman"/>
          <w:sz w:val="24"/>
          <w:szCs w:val="24"/>
        </w:rPr>
        <w:t xml:space="preserve">Коэффициент «бета» рассчитывается на дату, предшествующую дате определения справедливой стоимости. При этом дата расчета коэффициента «бета» должна являться торговым днем. </w:t>
      </w:r>
    </w:p>
    <w:p w14:paraId="7DBBD51D" w14:textId="77777777" w:rsidR="000C1E0E" w:rsidRDefault="000C1E0E" w:rsidP="000C1E0E">
      <w:pPr>
        <w:keepNext/>
        <w:widowControl w:val="0"/>
        <w:spacing w:before="60" w:after="60" w:line="240" w:lineRule="auto"/>
        <w:ind w:left="720"/>
        <w:outlineLvl w:val="1"/>
        <w:rPr>
          <w:rFonts w:ascii="Times New Roman" w:hAnsi="Times New Roman"/>
          <w:sz w:val="24"/>
          <w:szCs w:val="24"/>
        </w:rPr>
      </w:pPr>
      <w:r>
        <w:rPr>
          <w:rFonts w:ascii="Times New Roman" w:hAnsi="Times New Roman"/>
          <w:sz w:val="24"/>
          <w:szCs w:val="24"/>
        </w:rPr>
        <w:t>Для расчета коэффициента «бета» используются значения, определенные за последние 45 торговых дней, предшествующие дате определения справедливой стоимости, по следующей формуле:</w:t>
      </w:r>
    </w:p>
    <w:p w14:paraId="29EBBE62" w14:textId="77777777" w:rsidR="000C1E0E" w:rsidRDefault="000C1E0E" w:rsidP="000C1E0E">
      <w:pPr>
        <w:keepNext/>
        <w:widowControl w:val="0"/>
        <w:spacing w:before="60" w:after="60" w:line="240" w:lineRule="auto"/>
        <w:ind w:left="720"/>
        <w:outlineLvl w:val="1"/>
        <w:rPr>
          <w:rFonts w:ascii="Times New Roman" w:hAnsi="Times New Roman"/>
          <w:sz w:val="24"/>
          <w:szCs w:val="24"/>
        </w:rPr>
      </w:pPr>
    </w:p>
    <w:p w14:paraId="53F39163" w14:textId="77777777" w:rsidR="000C1E0E" w:rsidRDefault="000C1E0E" w:rsidP="000C1E0E">
      <w:pPr>
        <w:spacing w:line="276" w:lineRule="auto"/>
        <w:rPr>
          <w:rFonts w:ascii="Calibri" w:hAnsi="Calibri"/>
          <w:sz w:val="20"/>
        </w:rPr>
      </w:pPr>
      <m:oMathPara>
        <m:oMath>
          <m:r>
            <m:rPr>
              <m:sty m:val="p"/>
            </m:rPr>
            <w:rPr>
              <w:rFonts w:ascii="Cambria Math" w:hAnsi="Cambria Math"/>
              <w:sz w:val="20"/>
            </w:rPr>
            <m:t>β=</m:t>
          </m:r>
          <m:f>
            <m:fPr>
              <m:ctrlPr>
                <w:rPr>
                  <w:rFonts w:ascii="Cambria Math" w:hAnsi="Cambria Math"/>
                </w:rPr>
              </m:ctrlPr>
            </m:fPr>
            <m:num>
              <m:r>
                <m:rPr>
                  <m:sty m:val="p"/>
                </m:rPr>
                <w:rPr>
                  <w:rFonts w:ascii="Cambria Math" w:hAnsi="Cambria Math"/>
                  <w:sz w:val="20"/>
                </w:rPr>
                <m:t xml:space="preserve">Covariance </m:t>
              </m:r>
              <m:d>
                <m:dPr>
                  <m:ctrlPr>
                    <w:rPr>
                      <w:rFonts w:ascii="Cambria Math" w:hAnsi="Cambria Math"/>
                    </w:rPr>
                  </m:ctrlPr>
                </m:dPr>
                <m:e>
                  <m:sSub>
                    <m:sSubPr>
                      <m:ctrlPr>
                        <w:rPr>
                          <w:rFonts w:ascii="Cambria Math" w:hAnsi="Cambria Math"/>
                        </w:rPr>
                      </m:ctrlPr>
                    </m:sSubPr>
                    <m:e>
                      <m:r>
                        <m:rPr>
                          <m:sty m:val="p"/>
                        </m:rPr>
                        <w:rPr>
                          <w:rFonts w:ascii="Cambria Math" w:hAnsi="Cambria Math"/>
                          <w:sz w:val="20"/>
                        </w:rPr>
                        <m:t>R</m:t>
                      </m:r>
                    </m:e>
                    <m:sub>
                      <m:r>
                        <m:rPr>
                          <m:sty m:val="p"/>
                        </m:rPr>
                        <w:rPr>
                          <w:rFonts w:ascii="Cambria Math" w:hAnsi="Cambria Math"/>
                          <w:sz w:val="20"/>
                        </w:rPr>
                        <m:t>a</m:t>
                      </m:r>
                    </m:sub>
                  </m:sSub>
                  <m:r>
                    <m:rPr>
                      <m:sty m:val="p"/>
                    </m:rPr>
                    <w:rPr>
                      <w:rFonts w:ascii="Cambria Math" w:hAnsi="Cambria Math"/>
                      <w:sz w:val="20"/>
                    </w:rPr>
                    <m:t xml:space="preserve">, </m:t>
                  </m:r>
                  <m:sSub>
                    <m:sSubPr>
                      <m:ctrlPr>
                        <w:rPr>
                          <w:rFonts w:ascii="Cambria Math" w:hAnsi="Cambria Math"/>
                        </w:rPr>
                      </m:ctrlPr>
                    </m:sSubPr>
                    <m:e>
                      <m:r>
                        <m:rPr>
                          <m:sty m:val="p"/>
                        </m:rPr>
                        <w:rPr>
                          <w:rFonts w:ascii="Cambria Math" w:hAnsi="Cambria Math"/>
                          <w:sz w:val="20"/>
                        </w:rPr>
                        <m:t>R</m:t>
                      </m:r>
                    </m:e>
                    <m:sub>
                      <m:r>
                        <m:rPr>
                          <m:sty m:val="p"/>
                        </m:rPr>
                        <w:rPr>
                          <w:rFonts w:ascii="Cambria Math" w:hAnsi="Cambria Math"/>
                          <w:sz w:val="20"/>
                        </w:rPr>
                        <m:t>m</m:t>
                      </m:r>
                    </m:sub>
                  </m:sSub>
                </m:e>
              </m:d>
            </m:num>
            <m:den>
              <m:r>
                <m:rPr>
                  <m:sty m:val="p"/>
                </m:rPr>
                <w:rPr>
                  <w:rFonts w:ascii="Cambria Math" w:hAnsi="Cambria Math"/>
                  <w:sz w:val="20"/>
                </w:rPr>
                <m:t xml:space="preserve">Variance </m:t>
              </m:r>
              <m:d>
                <m:dPr>
                  <m:ctrlPr>
                    <w:rPr>
                      <w:rFonts w:ascii="Cambria Math" w:hAnsi="Cambria Math"/>
                    </w:rPr>
                  </m:ctrlPr>
                </m:dPr>
                <m:e>
                  <m:sSub>
                    <m:sSubPr>
                      <m:ctrlPr>
                        <w:rPr>
                          <w:rFonts w:ascii="Cambria Math" w:hAnsi="Cambria Math"/>
                        </w:rPr>
                      </m:ctrlPr>
                    </m:sSubPr>
                    <m:e>
                      <m:r>
                        <m:rPr>
                          <m:sty m:val="p"/>
                        </m:rPr>
                        <w:rPr>
                          <w:rFonts w:ascii="Cambria Math" w:hAnsi="Cambria Math"/>
                          <w:sz w:val="20"/>
                        </w:rPr>
                        <m:t>R</m:t>
                      </m:r>
                    </m:e>
                    <m:sub>
                      <m:r>
                        <m:rPr>
                          <m:sty m:val="p"/>
                        </m:rPr>
                        <w:rPr>
                          <w:rFonts w:ascii="Cambria Math" w:hAnsi="Cambria Math"/>
                          <w:sz w:val="20"/>
                        </w:rPr>
                        <m:t>m</m:t>
                      </m:r>
                    </m:sub>
                  </m:sSub>
                </m:e>
              </m:d>
            </m:den>
          </m:f>
        </m:oMath>
      </m:oMathPara>
    </w:p>
    <w:p w14:paraId="421D705C" w14:textId="77777777" w:rsidR="000C1E0E" w:rsidRDefault="00C74876" w:rsidP="000C1E0E">
      <w:pPr>
        <w:rPr>
          <w:sz w:val="20"/>
        </w:rPr>
      </w:pPr>
      <m:oMathPara>
        <m:oMath>
          <m:sSub>
            <m:sSubPr>
              <m:ctrlPr>
                <w:rPr>
                  <w:rFonts w:ascii="Cambria Math" w:hAnsi="Cambria Math"/>
                </w:rPr>
              </m:ctrlPr>
            </m:sSubPr>
            <m:e>
              <m:sSub>
                <m:sSubPr>
                  <m:ctrlPr>
                    <w:rPr>
                      <w:rFonts w:ascii="Cambria Math" w:hAnsi="Cambria Math"/>
                    </w:rPr>
                  </m:ctrlPr>
                </m:sSubPr>
                <m:e>
                  <m:r>
                    <m:rPr>
                      <m:sty m:val="p"/>
                    </m:rPr>
                    <w:rPr>
                      <w:rFonts w:ascii="Cambria Math" w:hAnsi="Cambria Math"/>
                      <w:sz w:val="20"/>
                    </w:rPr>
                    <m:t>R</m:t>
                  </m:r>
                </m:e>
                <m:sub>
                  <m:r>
                    <m:rPr>
                      <m:sty m:val="p"/>
                    </m:rPr>
                    <w:rPr>
                      <w:rFonts w:ascii="Cambria Math" w:hAnsi="Cambria Math"/>
                      <w:sz w:val="20"/>
                    </w:rPr>
                    <m:t>a</m:t>
                  </m:r>
                </m:sub>
              </m:sSub>
              <m:r>
                <m:rPr>
                  <m:sty m:val="p"/>
                </m:rPr>
                <w:rPr>
                  <w:rFonts w:ascii="Cambria Math" w:hAnsi="Cambria Math"/>
                  <w:sz w:val="20"/>
                </w:rPr>
                <m:t>=</m:t>
              </m:r>
              <m:f>
                <m:fPr>
                  <m:ctrlPr>
                    <w:rPr>
                      <w:rFonts w:ascii="Cambria Math" w:hAnsi="Cambria Math"/>
                    </w:rPr>
                  </m:ctrlPr>
                </m:fPr>
                <m:num>
                  <m:sSub>
                    <m:sSubPr>
                      <m:ctrlPr>
                        <w:rPr>
                          <w:rFonts w:ascii="Cambria Math" w:hAnsi="Cambria Math"/>
                        </w:rPr>
                      </m:ctrlPr>
                    </m:sSubPr>
                    <m:e>
                      <m:r>
                        <m:rPr>
                          <m:sty m:val="p"/>
                        </m:rPr>
                        <w:rPr>
                          <w:rFonts w:ascii="Cambria Math" w:hAnsi="Cambria Math"/>
                          <w:sz w:val="20"/>
                        </w:rPr>
                        <m:t>Pa</m:t>
                      </m:r>
                    </m:e>
                    <m:sub>
                      <m:r>
                        <m:rPr>
                          <m:sty m:val="p"/>
                        </m:rPr>
                        <w:rPr>
                          <w:rFonts w:ascii="Cambria Math" w:hAnsi="Cambria Math"/>
                          <w:sz w:val="20"/>
                        </w:rPr>
                        <m:t>i</m:t>
                      </m:r>
                    </m:sub>
                  </m:sSub>
                </m:num>
                <m:den>
                  <m:sSub>
                    <m:sSubPr>
                      <m:ctrlPr>
                        <w:rPr>
                          <w:rFonts w:ascii="Cambria Math" w:hAnsi="Cambria Math"/>
                        </w:rPr>
                      </m:ctrlPr>
                    </m:sSubPr>
                    <m:e>
                      <m:r>
                        <m:rPr>
                          <m:sty m:val="p"/>
                        </m:rPr>
                        <w:rPr>
                          <w:rFonts w:ascii="Cambria Math" w:hAnsi="Cambria Math"/>
                          <w:sz w:val="20"/>
                        </w:rPr>
                        <m:t>Pa</m:t>
                      </m:r>
                    </m:e>
                    <m:sub>
                      <m:r>
                        <m:rPr>
                          <m:sty m:val="p"/>
                        </m:rPr>
                        <w:rPr>
                          <w:rFonts w:ascii="Cambria Math" w:hAnsi="Cambria Math"/>
                          <w:sz w:val="20"/>
                        </w:rPr>
                        <m:t>i-1</m:t>
                      </m:r>
                    </m:sub>
                  </m:sSub>
                </m:den>
              </m:f>
              <m:r>
                <m:rPr>
                  <m:sty m:val="p"/>
                </m:rPr>
                <w:rPr>
                  <w:rFonts w:ascii="Cambria Math" w:hAnsi="Cambria Math"/>
                  <w:sz w:val="20"/>
                </w:rPr>
                <m:t>-1,  R</m:t>
              </m:r>
            </m:e>
            <m:sub>
              <m:r>
                <m:rPr>
                  <m:sty m:val="p"/>
                </m:rPr>
                <w:rPr>
                  <w:rFonts w:ascii="Cambria Math" w:hAnsi="Cambria Math"/>
                  <w:sz w:val="20"/>
                </w:rPr>
                <m:t>m</m:t>
              </m:r>
            </m:sub>
          </m:sSub>
          <m:r>
            <m:rPr>
              <m:sty m:val="p"/>
            </m:rPr>
            <w:rPr>
              <w:rFonts w:ascii="Cambria Math" w:hAnsi="Cambria Math"/>
              <w:sz w:val="20"/>
            </w:rPr>
            <m:t>=</m:t>
          </m:r>
          <m:f>
            <m:fPr>
              <m:ctrlPr>
                <w:rPr>
                  <w:rFonts w:ascii="Cambria Math" w:hAnsi="Cambria Math"/>
                </w:rPr>
              </m:ctrlPr>
            </m:fPr>
            <m:num>
              <m:sSub>
                <m:sSubPr>
                  <m:ctrlPr>
                    <w:rPr>
                      <w:rFonts w:ascii="Cambria Math" w:hAnsi="Cambria Math"/>
                    </w:rPr>
                  </m:ctrlPr>
                </m:sSubPr>
                <m:e>
                  <m:r>
                    <m:rPr>
                      <m:sty m:val="p"/>
                    </m:rPr>
                    <w:rPr>
                      <w:rFonts w:ascii="Cambria Math" w:hAnsi="Cambria Math"/>
                      <w:sz w:val="20"/>
                    </w:rPr>
                    <m:t>Pm</m:t>
                  </m:r>
                </m:e>
                <m:sub>
                  <m:r>
                    <m:rPr>
                      <m:sty m:val="p"/>
                    </m:rPr>
                    <w:rPr>
                      <w:rFonts w:ascii="Cambria Math" w:hAnsi="Cambria Math"/>
                      <w:sz w:val="20"/>
                    </w:rPr>
                    <m:t>i</m:t>
                  </m:r>
                </m:sub>
              </m:sSub>
            </m:num>
            <m:den>
              <m:sSub>
                <m:sSubPr>
                  <m:ctrlPr>
                    <w:rPr>
                      <w:rFonts w:ascii="Cambria Math" w:hAnsi="Cambria Math"/>
                    </w:rPr>
                  </m:ctrlPr>
                </m:sSubPr>
                <m:e>
                  <m:r>
                    <m:rPr>
                      <m:sty m:val="p"/>
                    </m:rPr>
                    <w:rPr>
                      <w:rFonts w:ascii="Cambria Math" w:hAnsi="Cambria Math"/>
                      <w:sz w:val="20"/>
                    </w:rPr>
                    <m:t>Pm</m:t>
                  </m:r>
                </m:e>
                <m:sub>
                  <m:r>
                    <m:rPr>
                      <m:sty m:val="p"/>
                    </m:rPr>
                    <w:rPr>
                      <w:rFonts w:ascii="Cambria Math" w:hAnsi="Cambria Math"/>
                      <w:sz w:val="20"/>
                    </w:rPr>
                    <m:t>i-1</m:t>
                  </m:r>
                </m:sub>
              </m:sSub>
            </m:den>
          </m:f>
          <m:r>
            <m:rPr>
              <m:sty m:val="p"/>
            </m:rPr>
            <w:rPr>
              <w:rFonts w:ascii="Cambria Math" w:hAnsi="Cambria Math"/>
              <w:sz w:val="20"/>
            </w:rPr>
            <m:t xml:space="preserve">-1 </m:t>
          </m:r>
        </m:oMath>
      </m:oMathPara>
    </w:p>
    <w:p w14:paraId="7E6C5AC0" w14:textId="77777777" w:rsidR="000C1E0E" w:rsidRDefault="000C1E0E" w:rsidP="000C1E0E">
      <w:pPr>
        <w:ind w:left="708"/>
        <w:rPr>
          <w:rFonts w:ascii="Times New Roman" w:hAnsi="Times New Roman"/>
          <w:sz w:val="24"/>
          <w:szCs w:val="24"/>
        </w:rPr>
      </w:pPr>
    </w:p>
    <w:p w14:paraId="1DE27615" w14:textId="77777777" w:rsidR="000C1E0E" w:rsidRDefault="000C1E0E" w:rsidP="000C1E0E">
      <w:pPr>
        <w:spacing w:after="240" w:line="240" w:lineRule="auto"/>
        <w:ind w:left="708"/>
        <w:jc w:val="left"/>
        <w:rPr>
          <w:rFonts w:ascii="Times New Roman" w:hAnsi="Times New Roman"/>
          <w:sz w:val="24"/>
          <w:szCs w:val="24"/>
        </w:rPr>
      </w:pPr>
      <w:r>
        <w:rPr>
          <w:rFonts w:ascii="Times New Roman" w:hAnsi="Times New Roman"/>
          <w:sz w:val="24"/>
          <w:szCs w:val="24"/>
        </w:rPr>
        <w:t>где:</w:t>
      </w:r>
    </w:p>
    <w:p w14:paraId="13D8C08C" w14:textId="77777777" w:rsidR="000C1E0E" w:rsidRDefault="00C74876" w:rsidP="000C1E0E">
      <w:pPr>
        <w:spacing w:line="276" w:lineRule="auto"/>
        <w:ind w:left="708"/>
        <w:rPr>
          <w:rFonts w:ascii="Times New Roman" w:hAnsi="Times New Roman"/>
          <w:sz w:val="24"/>
          <w:szCs w:val="24"/>
        </w:rPr>
      </w:pPr>
      <m:oMath>
        <m:sSub>
          <m:sSubPr>
            <m:ctrlPr>
              <w:rPr>
                <w:rFonts w:ascii="Cambria Math" w:hAnsi="Cambria Math"/>
                <w:sz w:val="24"/>
                <w:szCs w:val="24"/>
              </w:rPr>
            </m:ctrlPr>
          </m:sSubPr>
          <m:e>
            <m:r>
              <m:rPr>
                <m:sty m:val="p"/>
              </m:rPr>
              <w:rPr>
                <w:rFonts w:ascii="Cambria Math" w:hAnsi="Cambria Math"/>
                <w:sz w:val="24"/>
                <w:szCs w:val="24"/>
              </w:rPr>
              <m:t>R</m:t>
            </m:r>
          </m:e>
          <m:sub>
            <m:r>
              <m:rPr>
                <m:sty m:val="p"/>
              </m:rPr>
              <w:rPr>
                <w:rFonts w:ascii="Cambria Math" w:hAnsi="Cambria Math"/>
                <w:sz w:val="24"/>
                <w:szCs w:val="24"/>
              </w:rPr>
              <m:t>a</m:t>
            </m:r>
          </m:sub>
        </m:sSub>
      </m:oMath>
      <w:r w:rsidR="000C1E0E">
        <w:rPr>
          <w:rFonts w:ascii="Times New Roman" w:hAnsi="Times New Roman"/>
          <w:sz w:val="24"/>
          <w:szCs w:val="24"/>
        </w:rPr>
        <w:t xml:space="preserve">– доходность актива </w:t>
      </w:r>
    </w:p>
    <w:p w14:paraId="7D5F882F" w14:textId="77777777" w:rsidR="000C1E0E" w:rsidRDefault="00C74876" w:rsidP="000C1E0E">
      <w:pPr>
        <w:spacing w:line="276" w:lineRule="auto"/>
        <w:ind w:left="708"/>
        <w:rPr>
          <w:rFonts w:ascii="Times New Roman" w:hAnsi="Times New Roman"/>
          <w:sz w:val="24"/>
          <w:szCs w:val="24"/>
        </w:rPr>
      </w:pPr>
      <m:oMath>
        <m:sSub>
          <m:sSubPr>
            <m:ctrlPr>
              <w:rPr>
                <w:rFonts w:ascii="Cambria Math" w:hAnsi="Cambria Math"/>
                <w:sz w:val="24"/>
                <w:szCs w:val="24"/>
              </w:rPr>
            </m:ctrlPr>
          </m:sSubPr>
          <m:e>
            <m:r>
              <m:rPr>
                <m:sty m:val="p"/>
              </m:rPr>
              <w:rPr>
                <w:rFonts w:ascii="Cambria Math" w:hAnsi="Cambria Math"/>
                <w:sz w:val="24"/>
                <w:szCs w:val="24"/>
              </w:rPr>
              <m:t>Pa</m:t>
            </m:r>
          </m:e>
          <m:sub>
            <m:r>
              <m:rPr>
                <m:sty m:val="p"/>
              </m:rPr>
              <w:rPr>
                <w:rFonts w:ascii="Cambria Math" w:hAnsi="Cambria Math"/>
                <w:sz w:val="24"/>
                <w:szCs w:val="24"/>
              </w:rPr>
              <m:t>i</m:t>
            </m:r>
          </m:sub>
        </m:sSub>
      </m:oMath>
      <w:r w:rsidR="000C1E0E">
        <w:rPr>
          <w:rFonts w:ascii="Times New Roman" w:hAnsi="Times New Roman"/>
          <w:sz w:val="24"/>
          <w:szCs w:val="24"/>
        </w:rPr>
        <w:t xml:space="preserve"> – цена закрытия актива на дату </w:t>
      </w:r>
      <m:oMath>
        <m:r>
          <m:rPr>
            <m:sty m:val="p"/>
          </m:rPr>
          <w:rPr>
            <w:rFonts w:ascii="Cambria Math" w:hAnsi="Cambria Math"/>
            <w:sz w:val="24"/>
            <w:szCs w:val="24"/>
          </w:rPr>
          <m:t>i</m:t>
        </m:r>
      </m:oMath>
      <w:r w:rsidR="000C1E0E">
        <w:rPr>
          <w:rFonts w:ascii="Times New Roman" w:hAnsi="Times New Roman"/>
          <w:sz w:val="24"/>
          <w:szCs w:val="24"/>
        </w:rPr>
        <w:t>;</w:t>
      </w:r>
    </w:p>
    <w:p w14:paraId="54F85E4C" w14:textId="77777777" w:rsidR="000C1E0E" w:rsidRDefault="00C74876" w:rsidP="000C1E0E">
      <w:pPr>
        <w:spacing w:line="276" w:lineRule="auto"/>
        <w:ind w:left="708"/>
        <w:rPr>
          <w:rFonts w:ascii="Times New Roman" w:hAnsi="Times New Roman"/>
          <w:sz w:val="24"/>
          <w:szCs w:val="24"/>
        </w:rPr>
      </w:pPr>
      <m:oMath>
        <m:sSub>
          <m:sSubPr>
            <m:ctrlPr>
              <w:rPr>
                <w:rFonts w:ascii="Cambria Math" w:hAnsi="Cambria Math"/>
                <w:sz w:val="24"/>
                <w:szCs w:val="24"/>
              </w:rPr>
            </m:ctrlPr>
          </m:sSubPr>
          <m:e>
            <m:r>
              <m:rPr>
                <m:sty m:val="p"/>
              </m:rPr>
              <w:rPr>
                <w:rFonts w:ascii="Cambria Math" w:hAnsi="Cambria Math"/>
                <w:sz w:val="24"/>
                <w:szCs w:val="24"/>
              </w:rPr>
              <m:t>Pa</m:t>
            </m:r>
          </m:e>
          <m:sub>
            <m:r>
              <m:rPr>
                <m:sty m:val="p"/>
              </m:rPr>
              <w:rPr>
                <w:rFonts w:ascii="Cambria Math" w:hAnsi="Cambria Math"/>
                <w:sz w:val="24"/>
                <w:szCs w:val="24"/>
              </w:rPr>
              <m:t>i-1</m:t>
            </m:r>
          </m:sub>
        </m:sSub>
      </m:oMath>
      <w:r w:rsidR="000C1E0E">
        <w:rPr>
          <w:rFonts w:ascii="Times New Roman" w:hAnsi="Times New Roman"/>
          <w:sz w:val="24"/>
          <w:szCs w:val="24"/>
        </w:rPr>
        <w:t xml:space="preserve"> – предыдущая цена закрытия актива;</w:t>
      </w:r>
    </w:p>
    <w:p w14:paraId="574660C0" w14:textId="77777777" w:rsidR="000C1E0E" w:rsidRDefault="00C74876" w:rsidP="000C1E0E">
      <w:pPr>
        <w:spacing w:line="276" w:lineRule="auto"/>
        <w:ind w:left="708"/>
        <w:rPr>
          <w:rFonts w:ascii="Times New Roman" w:hAnsi="Times New Roman"/>
          <w:sz w:val="24"/>
          <w:szCs w:val="24"/>
        </w:rPr>
      </w:pPr>
      <m:oMath>
        <m:sSub>
          <m:sSubPr>
            <m:ctrlPr>
              <w:rPr>
                <w:rFonts w:ascii="Cambria Math" w:hAnsi="Cambria Math"/>
                <w:sz w:val="24"/>
                <w:szCs w:val="24"/>
              </w:rPr>
            </m:ctrlPr>
          </m:sSubPr>
          <m:e>
            <m:r>
              <m:rPr>
                <m:sty m:val="p"/>
              </m:rPr>
              <w:rPr>
                <w:rFonts w:ascii="Cambria Math" w:hAnsi="Cambria Math"/>
                <w:sz w:val="24"/>
                <w:szCs w:val="24"/>
              </w:rPr>
              <m:t>R</m:t>
            </m:r>
          </m:e>
          <m:sub>
            <m:r>
              <m:rPr>
                <m:sty m:val="p"/>
              </m:rPr>
              <w:rPr>
                <w:rFonts w:ascii="Cambria Math" w:hAnsi="Cambria Math"/>
                <w:sz w:val="24"/>
                <w:szCs w:val="24"/>
              </w:rPr>
              <m:t>m</m:t>
            </m:r>
          </m:sub>
        </m:sSub>
      </m:oMath>
      <w:r w:rsidR="000C1E0E">
        <w:rPr>
          <w:rFonts w:ascii="Times New Roman" w:hAnsi="Times New Roman"/>
          <w:sz w:val="24"/>
          <w:szCs w:val="24"/>
        </w:rPr>
        <w:t xml:space="preserve"> - доходность рыночного индикатора;</w:t>
      </w:r>
    </w:p>
    <w:p w14:paraId="41FA891B" w14:textId="77777777" w:rsidR="000C1E0E" w:rsidRDefault="00C74876" w:rsidP="000C1E0E">
      <w:pPr>
        <w:spacing w:line="276" w:lineRule="auto"/>
        <w:ind w:left="708"/>
        <w:rPr>
          <w:rFonts w:ascii="Times New Roman" w:hAnsi="Times New Roman"/>
          <w:sz w:val="24"/>
          <w:szCs w:val="24"/>
        </w:rPr>
      </w:pPr>
      <m:oMath>
        <m:sSub>
          <m:sSubPr>
            <m:ctrlPr>
              <w:rPr>
                <w:rFonts w:ascii="Cambria Math" w:hAnsi="Cambria Math"/>
                <w:sz w:val="24"/>
                <w:szCs w:val="24"/>
              </w:rPr>
            </m:ctrlPr>
          </m:sSubPr>
          <m:e>
            <m:r>
              <m:rPr>
                <m:sty m:val="p"/>
              </m:rPr>
              <w:rPr>
                <w:rFonts w:ascii="Cambria Math" w:hAnsi="Cambria Math"/>
                <w:sz w:val="24"/>
                <w:szCs w:val="24"/>
              </w:rPr>
              <m:t>Pm</m:t>
            </m:r>
          </m:e>
          <m:sub>
            <m:r>
              <m:rPr>
                <m:sty m:val="p"/>
              </m:rPr>
              <w:rPr>
                <w:rFonts w:ascii="Cambria Math" w:hAnsi="Cambria Math"/>
                <w:sz w:val="24"/>
                <w:szCs w:val="24"/>
              </w:rPr>
              <m:t>i</m:t>
            </m:r>
          </m:sub>
        </m:sSub>
      </m:oMath>
      <w:r w:rsidR="000C1E0E">
        <w:rPr>
          <w:rFonts w:ascii="Times New Roman" w:hAnsi="Times New Roman"/>
          <w:sz w:val="24"/>
          <w:szCs w:val="24"/>
        </w:rPr>
        <w:t xml:space="preserve"> – значение рыночного индикатора на дату </w:t>
      </w:r>
      <m:oMath>
        <m:r>
          <m:rPr>
            <m:sty m:val="p"/>
          </m:rPr>
          <w:rPr>
            <w:rFonts w:ascii="Cambria Math" w:hAnsi="Cambria Math"/>
            <w:sz w:val="24"/>
            <w:szCs w:val="24"/>
          </w:rPr>
          <m:t>i</m:t>
        </m:r>
      </m:oMath>
      <w:r w:rsidR="000C1E0E">
        <w:rPr>
          <w:rFonts w:ascii="Times New Roman" w:hAnsi="Times New Roman"/>
          <w:sz w:val="24"/>
          <w:szCs w:val="24"/>
        </w:rPr>
        <w:t>;</w:t>
      </w:r>
    </w:p>
    <w:p w14:paraId="436AA51A" w14:textId="77777777" w:rsidR="000C1E0E" w:rsidRDefault="00C74876" w:rsidP="000C1E0E">
      <w:pPr>
        <w:spacing w:line="276" w:lineRule="auto"/>
        <w:ind w:left="708"/>
        <w:rPr>
          <w:rFonts w:ascii="Times New Roman" w:hAnsi="Times New Roman"/>
          <w:sz w:val="24"/>
          <w:szCs w:val="24"/>
        </w:rPr>
      </w:pPr>
      <m:oMath>
        <m:sSub>
          <m:sSubPr>
            <m:ctrlPr>
              <w:rPr>
                <w:rFonts w:ascii="Cambria Math" w:hAnsi="Cambria Math"/>
                <w:sz w:val="24"/>
                <w:szCs w:val="24"/>
              </w:rPr>
            </m:ctrlPr>
          </m:sSubPr>
          <m:e>
            <m:r>
              <m:rPr>
                <m:sty m:val="p"/>
              </m:rPr>
              <w:rPr>
                <w:rFonts w:ascii="Cambria Math" w:hAnsi="Cambria Math"/>
                <w:sz w:val="24"/>
                <w:szCs w:val="24"/>
              </w:rPr>
              <m:t>Pm</m:t>
            </m:r>
          </m:e>
          <m:sub>
            <m:r>
              <m:rPr>
                <m:sty m:val="p"/>
              </m:rPr>
              <w:rPr>
                <w:rFonts w:ascii="Cambria Math" w:hAnsi="Cambria Math"/>
                <w:sz w:val="24"/>
                <w:szCs w:val="24"/>
              </w:rPr>
              <m:t>i-1</m:t>
            </m:r>
          </m:sub>
        </m:sSub>
      </m:oMath>
      <w:r w:rsidR="000C1E0E">
        <w:rPr>
          <w:rFonts w:ascii="Times New Roman" w:hAnsi="Times New Roman"/>
          <w:sz w:val="24"/>
          <w:szCs w:val="24"/>
        </w:rPr>
        <w:t xml:space="preserve"> – предыдущее значение рыночного индикатора;</w:t>
      </w:r>
    </w:p>
    <w:p w14:paraId="6D4CBD8B" w14:textId="77777777" w:rsidR="000C1E0E" w:rsidRDefault="000C1E0E" w:rsidP="000C1E0E">
      <w:pPr>
        <w:spacing w:line="276" w:lineRule="auto"/>
        <w:ind w:left="708"/>
        <w:rPr>
          <w:rFonts w:ascii="Times New Roman" w:hAnsi="Times New Roman"/>
          <w:sz w:val="24"/>
          <w:szCs w:val="24"/>
        </w:rPr>
      </w:pPr>
      <m:oMath>
        <m:r>
          <m:rPr>
            <m:sty m:val="p"/>
          </m:rPr>
          <w:rPr>
            <w:rFonts w:ascii="Cambria Math" w:hAnsi="Cambria Math"/>
            <w:sz w:val="24"/>
            <w:szCs w:val="24"/>
          </w:rPr>
          <m:t>i=1…N</m:t>
        </m:r>
      </m:oMath>
      <w:r>
        <w:rPr>
          <w:rFonts w:ascii="Times New Roman" w:hAnsi="Times New Roman"/>
          <w:sz w:val="24"/>
          <w:szCs w:val="24"/>
        </w:rPr>
        <w:t>, торговые дни, предшествующие дате определения справедливой стоимости. Для расчета доходности актива и рыночного индикатора используются значения цены закрытия и рыночного индикатора за последние 45 торговых дней, предшествующие дате определения справедливой стоимости.</w:t>
      </w:r>
    </w:p>
    <w:p w14:paraId="34107B4D" w14:textId="77777777" w:rsidR="000C1E0E" w:rsidRDefault="000C1E0E" w:rsidP="000C1E0E">
      <w:pPr>
        <w:spacing w:line="276" w:lineRule="auto"/>
        <w:ind w:left="708"/>
        <w:rPr>
          <w:rFonts w:ascii="Times New Roman" w:hAnsi="Times New Roman"/>
          <w:sz w:val="24"/>
          <w:szCs w:val="24"/>
        </w:rPr>
      </w:pPr>
      <w:r>
        <w:rPr>
          <w:rFonts w:ascii="Times New Roman" w:hAnsi="Times New Roman"/>
          <w:sz w:val="24"/>
          <w:szCs w:val="24"/>
        </w:rPr>
        <w:t>При использовании модели CAPM в целях расчета коэффициента «бета» для акций российских эмитентов применяются значения цены закрытия на Московской Бирже.</w:t>
      </w:r>
    </w:p>
    <w:p w14:paraId="775711E9" w14:textId="77777777" w:rsidR="000C1E0E" w:rsidRDefault="000C1E0E" w:rsidP="000C1E0E">
      <w:pPr>
        <w:spacing w:line="276" w:lineRule="auto"/>
        <w:ind w:left="708"/>
        <w:rPr>
          <w:rFonts w:ascii="Times New Roman" w:hAnsi="Times New Roman"/>
          <w:sz w:val="24"/>
          <w:szCs w:val="24"/>
        </w:rPr>
      </w:pPr>
      <w:r>
        <w:rPr>
          <w:rFonts w:ascii="Times New Roman" w:hAnsi="Times New Roman"/>
          <w:sz w:val="24"/>
          <w:szCs w:val="24"/>
        </w:rPr>
        <w:t xml:space="preserve">Полученное значение коэффициента «бета» округляется по правилам математического округления до пяти десятичных знаков. </w:t>
      </w:r>
    </w:p>
    <w:p w14:paraId="625708C9" w14:textId="77777777" w:rsidR="000C1E0E" w:rsidRDefault="000C1E0E" w:rsidP="000C1E0E">
      <w:pPr>
        <w:spacing w:line="276" w:lineRule="auto"/>
        <w:ind w:left="708"/>
        <w:rPr>
          <w:rFonts w:ascii="Times New Roman" w:hAnsi="Times New Roman"/>
          <w:sz w:val="24"/>
          <w:szCs w:val="24"/>
        </w:rPr>
      </w:pPr>
      <w:r>
        <w:rPr>
          <w:rFonts w:ascii="Times New Roman" w:hAnsi="Times New Roman"/>
          <w:sz w:val="24"/>
          <w:szCs w:val="24"/>
        </w:rPr>
        <w:t xml:space="preserve">Показатели  </w:t>
      </w:r>
      <m:oMath>
        <m:sSub>
          <m:sSubPr>
            <m:ctrlPr>
              <w:rPr>
                <w:rFonts w:ascii="Cambria Math" w:hAnsi="Cambria Math"/>
                <w:sz w:val="24"/>
                <w:szCs w:val="24"/>
              </w:rPr>
            </m:ctrlPr>
          </m:sSubPr>
          <m:e>
            <m:r>
              <m:rPr>
                <m:sty m:val="p"/>
              </m:rPr>
              <w:rPr>
                <w:rFonts w:ascii="Cambria Math" w:hAnsi="Cambria Math"/>
                <w:sz w:val="24"/>
                <w:szCs w:val="24"/>
              </w:rPr>
              <m:t>R</m:t>
            </m:r>
          </m:e>
          <m:sub>
            <m:r>
              <m:rPr>
                <m:sty m:val="p"/>
              </m:rPr>
              <w:rPr>
                <w:rFonts w:ascii="Cambria Math" w:hAnsi="Cambria Math"/>
                <w:sz w:val="24"/>
                <w:szCs w:val="24"/>
              </w:rPr>
              <m:t>a</m:t>
            </m:r>
          </m:sub>
        </m:sSub>
      </m:oMath>
      <w:r>
        <w:rPr>
          <w:rFonts w:ascii="Times New Roman" w:hAnsi="Times New Roman"/>
          <w:sz w:val="24"/>
          <w:szCs w:val="24"/>
        </w:rPr>
        <w:t xml:space="preserve"> и </w:t>
      </w:r>
      <m:oMath>
        <m:sSub>
          <m:sSubPr>
            <m:ctrlPr>
              <w:rPr>
                <w:rFonts w:ascii="Cambria Math" w:hAnsi="Cambria Math"/>
                <w:sz w:val="24"/>
                <w:szCs w:val="24"/>
              </w:rPr>
            </m:ctrlPr>
          </m:sSubPr>
          <m:e>
            <m:r>
              <m:rPr>
                <m:sty m:val="p"/>
              </m:rPr>
              <w:rPr>
                <w:rFonts w:ascii="Cambria Math" w:hAnsi="Cambria Math"/>
                <w:sz w:val="24"/>
                <w:szCs w:val="24"/>
              </w:rPr>
              <m:t>R</m:t>
            </m:r>
          </m:e>
          <m:sub>
            <m:r>
              <m:rPr>
                <m:sty m:val="p"/>
              </m:rPr>
              <w:rPr>
                <w:rFonts w:ascii="Cambria Math" w:hAnsi="Cambria Math"/>
                <w:sz w:val="24"/>
                <w:szCs w:val="24"/>
              </w:rPr>
              <m:t>m</m:t>
            </m:r>
          </m:sub>
        </m:sSub>
      </m:oMath>
      <w:r>
        <w:rPr>
          <w:rFonts w:ascii="Times New Roman" w:hAnsi="Times New Roman"/>
          <w:sz w:val="24"/>
          <w:szCs w:val="24"/>
        </w:rPr>
        <w:t xml:space="preserve"> рассчитываются без промежуточных округлений.</w:t>
      </w:r>
    </w:p>
    <w:p w14:paraId="3FF8EB80" w14:textId="77777777" w:rsidR="000C1E0E" w:rsidRDefault="000C1E0E" w:rsidP="000C1E0E">
      <w:pPr>
        <w:spacing w:line="276" w:lineRule="auto"/>
        <w:ind w:left="708"/>
        <w:rPr>
          <w:rFonts w:ascii="Times New Roman" w:hAnsi="Times New Roman"/>
          <w:sz w:val="24"/>
          <w:szCs w:val="24"/>
        </w:rPr>
      </w:pPr>
      <w:r>
        <w:rPr>
          <w:rFonts w:ascii="Times New Roman" w:hAnsi="Times New Roman"/>
          <w:sz w:val="24"/>
          <w:szCs w:val="24"/>
        </w:rPr>
        <w:t>Цена закрытия актива на дату определения справедливой стоимости в модели не учитывается.</w:t>
      </w:r>
    </w:p>
    <w:p w14:paraId="4B6F573B" w14:textId="77777777" w:rsidR="000C1E0E" w:rsidRDefault="000C1E0E" w:rsidP="000C1E0E">
      <w:pPr>
        <w:spacing w:line="276" w:lineRule="auto"/>
        <w:ind w:left="708"/>
        <w:rPr>
          <w:rFonts w:ascii="Times New Roman" w:hAnsi="Times New Roman"/>
          <w:sz w:val="24"/>
          <w:szCs w:val="24"/>
        </w:rPr>
      </w:pPr>
      <w:r>
        <w:rPr>
          <w:rFonts w:ascii="Times New Roman" w:hAnsi="Times New Roman"/>
          <w:sz w:val="24"/>
          <w:szCs w:val="24"/>
        </w:rPr>
        <w:t>При отсутствии цены закрытия в какой-либо торговый день в периоде 45 торговых дней, на дату расчета коэффициента «бета», информация о значении рыночного индикатора и безрисковой ставки за этот торговый день в расчете не учитывается.</w:t>
      </w:r>
    </w:p>
    <w:p w14:paraId="09724216" w14:textId="77777777" w:rsidR="000C1E0E" w:rsidRDefault="000C1E0E" w:rsidP="000C1E0E">
      <w:pPr>
        <w:spacing w:line="276" w:lineRule="auto"/>
        <w:ind w:left="708"/>
        <w:rPr>
          <w:rFonts w:ascii="Times New Roman" w:hAnsi="Times New Roman"/>
          <w:sz w:val="24"/>
          <w:szCs w:val="24"/>
        </w:rPr>
      </w:pPr>
      <w:r>
        <w:rPr>
          <w:rFonts w:ascii="Times New Roman" w:hAnsi="Times New Roman"/>
          <w:sz w:val="24"/>
          <w:szCs w:val="24"/>
        </w:rPr>
        <w:t>При наличии цены закрытия и отсутствии значения рыночного индикатора в какой-либо торговый день в периоде 45 торговых дней, на дату расчета коэффициента «бета», значение рыночного индикатора за этот торговый день принимается равным последнему известному.</w:t>
      </w:r>
    </w:p>
    <w:p w14:paraId="7F5DFCB0" w14:textId="77777777" w:rsidR="000C1E0E" w:rsidRDefault="000C1E0E" w:rsidP="000C1E0E">
      <w:pPr>
        <w:ind w:left="708"/>
        <w:rPr>
          <w:rFonts w:ascii="Times New Roman" w:hAnsi="Times New Roman"/>
          <w:sz w:val="24"/>
          <w:szCs w:val="24"/>
        </w:rPr>
      </w:pPr>
      <w:r>
        <w:rPr>
          <w:rFonts w:ascii="Times New Roman" w:hAnsi="Times New Roman"/>
          <w:sz w:val="24"/>
          <w:szCs w:val="24"/>
        </w:rPr>
        <w:t>При отсутствии значения безрисковой ставки на дату расчета, значение безрисковой ставки за этот день принимается равным последнему известному.</w:t>
      </w:r>
    </w:p>
    <w:p w14:paraId="53B3DCB4" w14:textId="77777777" w:rsidR="000C1E0E" w:rsidRDefault="000C1E0E" w:rsidP="000C1E0E">
      <w:pPr>
        <w:ind w:left="708"/>
        <w:rPr>
          <w:rFonts w:ascii="Times New Roman" w:hAnsi="Times New Roman"/>
          <w:sz w:val="24"/>
          <w:szCs w:val="24"/>
        </w:rPr>
      </w:pPr>
      <w:r>
        <w:rPr>
          <w:rFonts w:ascii="Times New Roman" w:hAnsi="Times New Roman"/>
          <w:sz w:val="24"/>
          <w:szCs w:val="24"/>
        </w:rPr>
        <w:t>С даты возникновения оснований для применения модели CAPM до даты прекращения оснований для применения модели CAPM используется информация только той биржи, которая определена на дату возникновения оснований для применения модели CAPM. К такой информации относится следующие значения:</w:t>
      </w:r>
    </w:p>
    <w:p w14:paraId="3626CD78" w14:textId="77777777" w:rsidR="000C1E0E" w:rsidRDefault="000C1E0E" w:rsidP="000C1E0E">
      <w:pPr>
        <w:ind w:left="709"/>
        <w:rPr>
          <w:rFonts w:ascii="Times New Roman" w:hAnsi="Times New Roman"/>
          <w:sz w:val="24"/>
          <w:szCs w:val="24"/>
        </w:rPr>
      </w:pPr>
      <w:r>
        <w:rPr>
          <w:rFonts w:ascii="Times New Roman" w:hAnsi="Times New Roman"/>
          <w:sz w:val="24"/>
          <w:szCs w:val="24"/>
        </w:rPr>
        <w:t>- цена закрытия;</w:t>
      </w:r>
    </w:p>
    <w:p w14:paraId="09A5338A" w14:textId="77777777" w:rsidR="000C1E0E" w:rsidRDefault="000C1E0E" w:rsidP="000C1E0E">
      <w:pPr>
        <w:ind w:left="709"/>
        <w:rPr>
          <w:rFonts w:ascii="Times New Roman" w:hAnsi="Times New Roman"/>
          <w:sz w:val="24"/>
          <w:szCs w:val="24"/>
        </w:rPr>
      </w:pPr>
      <w:r>
        <w:rPr>
          <w:rFonts w:ascii="Times New Roman" w:hAnsi="Times New Roman"/>
          <w:sz w:val="24"/>
          <w:szCs w:val="24"/>
        </w:rPr>
        <w:t>-  значение рыночного индикатора.</w:t>
      </w:r>
    </w:p>
    <w:p w14:paraId="21B6D86D" w14:textId="77777777" w:rsidR="000C1E0E" w:rsidRDefault="000C1E0E" w:rsidP="000C1E0E">
      <w:pPr>
        <w:spacing w:line="276" w:lineRule="auto"/>
        <w:ind w:left="708"/>
        <w:rPr>
          <w:rFonts w:ascii="Times New Roman" w:hAnsi="Times New Roman"/>
          <w:b/>
          <w:sz w:val="24"/>
          <w:szCs w:val="24"/>
        </w:rPr>
      </w:pPr>
      <w:r>
        <w:rPr>
          <w:sz w:val="20"/>
        </w:rPr>
        <w:br/>
      </w:r>
      <w:r>
        <w:rPr>
          <w:rFonts w:ascii="Times New Roman" w:hAnsi="Times New Roman"/>
          <w:sz w:val="24"/>
          <w:szCs w:val="24"/>
        </w:rPr>
        <w:t>б)</w:t>
      </w:r>
      <w:r>
        <w:rPr>
          <w:rFonts w:ascii="Times New Roman" w:hAnsi="Times New Roman"/>
          <w:b/>
          <w:sz w:val="24"/>
          <w:szCs w:val="24"/>
        </w:rPr>
        <w:t xml:space="preserve"> Для облигаций российских эмитентов:</w:t>
      </w:r>
    </w:p>
    <w:p w14:paraId="7E999646" w14:textId="77777777" w:rsidR="000C1E0E" w:rsidRDefault="000C1E0E" w:rsidP="000C1E0E">
      <w:pPr>
        <w:autoSpaceDE w:val="0"/>
        <w:autoSpaceDN w:val="0"/>
        <w:adjustRightInd w:val="0"/>
        <w:spacing w:line="240" w:lineRule="auto"/>
        <w:ind w:left="709"/>
        <w:rPr>
          <w:rFonts w:ascii="Times New Roman" w:hAnsi="Times New Roman"/>
          <w:sz w:val="24"/>
          <w:szCs w:val="24"/>
        </w:rPr>
      </w:pPr>
      <w:r>
        <w:rPr>
          <w:rFonts w:ascii="Times New Roman" w:hAnsi="Times New Roman"/>
          <w:sz w:val="24"/>
          <w:szCs w:val="24"/>
        </w:rPr>
        <w:t>Цена, определенная по модели оценки в соответствии с Приложением №1 к настоящим Правилам (Уровень 2).</w:t>
      </w:r>
    </w:p>
    <w:p w14:paraId="652702F9" w14:textId="77777777" w:rsidR="000C1E0E" w:rsidRDefault="000C1E0E" w:rsidP="000C1E0E">
      <w:pPr>
        <w:autoSpaceDE w:val="0"/>
        <w:autoSpaceDN w:val="0"/>
        <w:adjustRightInd w:val="0"/>
        <w:spacing w:line="240" w:lineRule="auto"/>
        <w:ind w:left="709"/>
        <w:rPr>
          <w:rFonts w:ascii="Times New Roman" w:hAnsi="Times New Roman"/>
          <w:b/>
          <w:sz w:val="24"/>
          <w:szCs w:val="24"/>
        </w:rPr>
      </w:pPr>
    </w:p>
    <w:p w14:paraId="24A9FAED" w14:textId="77777777" w:rsidR="000C1E0E" w:rsidRDefault="000C1E0E" w:rsidP="000C1E0E">
      <w:pPr>
        <w:keepNext/>
        <w:widowControl w:val="0"/>
        <w:spacing w:before="60" w:after="60" w:line="240" w:lineRule="auto"/>
        <w:ind w:left="720"/>
        <w:outlineLvl w:val="1"/>
        <w:rPr>
          <w:rFonts w:ascii="Times New Roman" w:hAnsi="Times New Roman"/>
          <w:sz w:val="24"/>
          <w:szCs w:val="24"/>
        </w:rPr>
      </w:pPr>
      <w:r>
        <w:rPr>
          <w:rFonts w:ascii="Times New Roman" w:hAnsi="Times New Roman"/>
          <w:b/>
          <w:sz w:val="24"/>
          <w:szCs w:val="24"/>
          <w:u w:val="single"/>
        </w:rPr>
        <w:t>3 уровень цен:</w:t>
      </w:r>
      <w:r>
        <w:rPr>
          <w:rFonts w:ascii="Times New Roman" w:hAnsi="Times New Roman"/>
          <w:sz w:val="24"/>
          <w:szCs w:val="24"/>
        </w:rPr>
        <w:t xml:space="preserve"> </w:t>
      </w:r>
    </w:p>
    <w:p w14:paraId="280C223A" w14:textId="77777777" w:rsidR="000C1E0E" w:rsidRDefault="000C1E0E" w:rsidP="000C1E0E">
      <w:pPr>
        <w:keepNext/>
        <w:widowControl w:val="0"/>
        <w:spacing w:before="60" w:after="60" w:line="240" w:lineRule="auto"/>
        <w:ind w:left="720"/>
        <w:outlineLvl w:val="1"/>
        <w:rPr>
          <w:rFonts w:ascii="Times New Roman" w:hAnsi="Times New Roman"/>
          <w:sz w:val="24"/>
          <w:szCs w:val="24"/>
        </w:rPr>
      </w:pPr>
      <w:r>
        <w:rPr>
          <w:rFonts w:ascii="Times New Roman" w:hAnsi="Times New Roman"/>
          <w:sz w:val="24"/>
          <w:szCs w:val="24"/>
        </w:rPr>
        <w:t xml:space="preserve">Цена, на основании отчета оценщика, с даты оценки которого прошло не более 6 месяцев на дату определения СЧА. </w:t>
      </w:r>
    </w:p>
    <w:p w14:paraId="7489D386" w14:textId="77777777" w:rsidR="000C1E0E" w:rsidRDefault="000C1E0E" w:rsidP="000C1E0E">
      <w:pPr>
        <w:autoSpaceDE w:val="0"/>
        <w:autoSpaceDN w:val="0"/>
        <w:adjustRightInd w:val="0"/>
        <w:spacing w:line="240" w:lineRule="auto"/>
        <w:ind w:left="709"/>
        <w:rPr>
          <w:rFonts w:ascii="Times New Roman" w:hAnsi="Times New Roman"/>
          <w:sz w:val="24"/>
          <w:szCs w:val="24"/>
        </w:rPr>
      </w:pPr>
      <w:r>
        <w:rPr>
          <w:rFonts w:ascii="Times New Roman" w:hAnsi="Times New Roman"/>
          <w:sz w:val="24"/>
          <w:szCs w:val="24"/>
        </w:rPr>
        <w:t>Для облигаций российских эмитентов цена, определенная по модели оценки в соответствии с Приложением №1 к настоящим Правилам (Уровень 3).</w:t>
      </w:r>
    </w:p>
    <w:p w14:paraId="6684AE51" w14:textId="77777777" w:rsidR="000C1E0E" w:rsidRDefault="000C1E0E" w:rsidP="000C1E0E">
      <w:pPr>
        <w:autoSpaceDE w:val="0"/>
        <w:autoSpaceDN w:val="0"/>
        <w:adjustRightInd w:val="0"/>
        <w:spacing w:line="240" w:lineRule="auto"/>
        <w:ind w:left="709"/>
        <w:rPr>
          <w:rFonts w:ascii="Times New Roman" w:hAnsi="Times New Roman"/>
          <w:sz w:val="24"/>
          <w:szCs w:val="24"/>
        </w:rPr>
      </w:pPr>
    </w:p>
    <w:p w14:paraId="0B20562F" w14:textId="77777777" w:rsidR="000C1E0E" w:rsidRDefault="000C1E0E" w:rsidP="000C1E0E">
      <w:pPr>
        <w:keepNext/>
        <w:widowControl w:val="0"/>
        <w:numPr>
          <w:ilvl w:val="2"/>
          <w:numId w:val="4"/>
        </w:numPr>
        <w:spacing w:before="60" w:after="60" w:line="240" w:lineRule="auto"/>
        <w:outlineLvl w:val="1"/>
        <w:rPr>
          <w:rFonts w:ascii="Times New Roman" w:hAnsi="Times New Roman"/>
          <w:b/>
          <w:sz w:val="24"/>
          <w:szCs w:val="24"/>
        </w:rPr>
      </w:pPr>
      <w:r>
        <w:rPr>
          <w:rFonts w:ascii="Times New Roman" w:hAnsi="Times New Roman"/>
          <w:b/>
          <w:sz w:val="24"/>
          <w:szCs w:val="24"/>
        </w:rPr>
        <w:t>Справедливая стоимость ценных бумаг иностранных эмитентов (в том числе паи иностранных инвестиционных фондов) определяется в следующем порядке:</w:t>
      </w:r>
    </w:p>
    <w:p w14:paraId="72970D1B" w14:textId="77777777" w:rsidR="000C1E0E" w:rsidRDefault="000C1E0E" w:rsidP="000C1E0E">
      <w:pPr>
        <w:keepNext/>
        <w:widowControl w:val="0"/>
        <w:spacing w:before="60" w:after="60" w:line="240" w:lineRule="auto"/>
        <w:ind w:left="720"/>
        <w:outlineLvl w:val="1"/>
        <w:rPr>
          <w:rFonts w:ascii="Times New Roman" w:hAnsi="Times New Roman"/>
          <w:b/>
          <w:sz w:val="24"/>
          <w:szCs w:val="24"/>
        </w:rPr>
      </w:pPr>
      <w:r>
        <w:rPr>
          <w:rFonts w:ascii="Times New Roman" w:hAnsi="Times New Roman"/>
          <w:b/>
          <w:sz w:val="24"/>
          <w:szCs w:val="24"/>
          <w:u w:val="single"/>
        </w:rPr>
        <w:t>1 уровень цен</w:t>
      </w:r>
      <w:r>
        <w:rPr>
          <w:rFonts w:ascii="Times New Roman" w:hAnsi="Times New Roman"/>
          <w:b/>
          <w:sz w:val="24"/>
          <w:szCs w:val="24"/>
        </w:rPr>
        <w:t>:</w:t>
      </w:r>
    </w:p>
    <w:p w14:paraId="27DEC251" w14:textId="77777777" w:rsidR="000C1E0E" w:rsidRDefault="000C1E0E" w:rsidP="000C1E0E">
      <w:pPr>
        <w:keepNext/>
        <w:widowControl w:val="0"/>
        <w:spacing w:before="60" w:after="60" w:line="240" w:lineRule="auto"/>
        <w:ind w:left="720"/>
        <w:outlineLvl w:val="1"/>
        <w:rPr>
          <w:rFonts w:ascii="Times New Roman" w:hAnsi="Times New Roman"/>
          <w:sz w:val="24"/>
          <w:szCs w:val="24"/>
        </w:rPr>
      </w:pPr>
      <w:r>
        <w:rPr>
          <w:rFonts w:ascii="Times New Roman" w:hAnsi="Times New Roman"/>
          <w:sz w:val="24"/>
          <w:szCs w:val="24"/>
        </w:rPr>
        <w:t>Если для определения справедливой стоимости используются цены основного рынка за последний торговый день из числа активных российских бирж, то используются цены, выбранные в следующем порядке (убывания приоритета):</w:t>
      </w:r>
    </w:p>
    <w:p w14:paraId="27D15A7F" w14:textId="77777777" w:rsidR="000C1E0E" w:rsidRDefault="000C1E0E" w:rsidP="000C1E0E">
      <w:pPr>
        <w:pStyle w:val="afc"/>
        <w:keepNext/>
        <w:widowControl w:val="0"/>
        <w:numPr>
          <w:ilvl w:val="0"/>
          <w:numId w:val="6"/>
        </w:numPr>
        <w:spacing w:before="60" w:after="60" w:line="240" w:lineRule="auto"/>
        <w:outlineLvl w:val="1"/>
        <w:rPr>
          <w:rFonts w:ascii="Times New Roman" w:hAnsi="Times New Roman"/>
          <w:sz w:val="24"/>
          <w:szCs w:val="24"/>
        </w:rPr>
      </w:pPr>
      <w:r>
        <w:rPr>
          <w:rFonts w:ascii="Times New Roman" w:hAnsi="Times New Roman"/>
          <w:sz w:val="24"/>
          <w:szCs w:val="24"/>
        </w:rPr>
        <w:t>цена спроса (bid) на момент окончания торговой сессии российской биржи на дату определения СЧА при условии подтверждения ее корректности;</w:t>
      </w:r>
    </w:p>
    <w:p w14:paraId="25896F0A" w14:textId="77777777" w:rsidR="000C1E0E" w:rsidRDefault="000C1E0E" w:rsidP="000C1E0E">
      <w:pPr>
        <w:keepNext/>
        <w:widowControl w:val="0"/>
        <w:spacing w:before="60" w:after="60" w:line="240" w:lineRule="auto"/>
        <w:ind w:left="720"/>
        <w:outlineLvl w:val="1"/>
        <w:rPr>
          <w:rFonts w:ascii="Times New Roman" w:hAnsi="Times New Roman"/>
          <w:sz w:val="24"/>
          <w:szCs w:val="24"/>
        </w:rPr>
      </w:pPr>
      <w:r>
        <w:rPr>
          <w:rFonts w:ascii="Times New Roman" w:hAnsi="Times New Roman"/>
          <w:sz w:val="24"/>
          <w:szCs w:val="24"/>
        </w:rPr>
        <w:t>Цена спроса, определенная на дату определения СЧА, признается корректной, если она находится в интервале между минимальной и максимальной ценами сделок на эту</w:t>
      </w:r>
      <w:r>
        <w:rPr>
          <w:rFonts w:ascii="Times New Roman" w:hAnsi="Times New Roman"/>
          <w:sz w:val="24"/>
          <w:szCs w:val="24"/>
          <w:lang w:val="en-US"/>
        </w:rPr>
        <w:t> </w:t>
      </w:r>
      <w:r>
        <w:rPr>
          <w:rFonts w:ascii="Times New Roman" w:hAnsi="Times New Roman"/>
          <w:sz w:val="24"/>
          <w:szCs w:val="24"/>
        </w:rPr>
        <w:t>же</w:t>
      </w:r>
      <w:r>
        <w:rPr>
          <w:rFonts w:ascii="Times New Roman" w:hAnsi="Times New Roman"/>
          <w:sz w:val="24"/>
          <w:szCs w:val="24"/>
          <w:lang w:val="en-US"/>
        </w:rPr>
        <w:t> </w:t>
      </w:r>
      <w:r>
        <w:rPr>
          <w:rFonts w:ascii="Times New Roman" w:hAnsi="Times New Roman"/>
          <w:sz w:val="24"/>
          <w:szCs w:val="24"/>
        </w:rPr>
        <w:t>дату</w:t>
      </w:r>
      <w:r>
        <w:rPr>
          <w:rFonts w:ascii="Times New Roman" w:hAnsi="Times New Roman"/>
          <w:sz w:val="24"/>
          <w:szCs w:val="24"/>
          <w:lang w:val="en-US"/>
        </w:rPr>
        <w:t> </w:t>
      </w:r>
      <w:r>
        <w:rPr>
          <w:rFonts w:ascii="Times New Roman" w:hAnsi="Times New Roman"/>
          <w:sz w:val="24"/>
          <w:szCs w:val="24"/>
        </w:rPr>
        <w:t>этой</w:t>
      </w:r>
      <w:r>
        <w:rPr>
          <w:rFonts w:ascii="Times New Roman" w:hAnsi="Times New Roman"/>
          <w:sz w:val="24"/>
          <w:szCs w:val="24"/>
          <w:lang w:val="en-US"/>
        </w:rPr>
        <w:t> </w:t>
      </w:r>
      <w:r>
        <w:rPr>
          <w:rFonts w:ascii="Times New Roman" w:hAnsi="Times New Roman"/>
          <w:sz w:val="24"/>
          <w:szCs w:val="24"/>
        </w:rPr>
        <w:t>же</w:t>
      </w:r>
      <w:r>
        <w:rPr>
          <w:rFonts w:ascii="Times New Roman" w:hAnsi="Times New Roman"/>
          <w:sz w:val="24"/>
          <w:szCs w:val="24"/>
          <w:lang w:val="en-US"/>
        </w:rPr>
        <w:t> </w:t>
      </w:r>
      <w:r>
        <w:rPr>
          <w:rFonts w:ascii="Times New Roman" w:hAnsi="Times New Roman"/>
          <w:sz w:val="24"/>
          <w:szCs w:val="24"/>
        </w:rPr>
        <w:t xml:space="preserve">биржи;  </w:t>
      </w:r>
    </w:p>
    <w:p w14:paraId="24758F40" w14:textId="77777777" w:rsidR="000C1E0E" w:rsidRDefault="000C1E0E" w:rsidP="000C1E0E">
      <w:pPr>
        <w:keepNext/>
        <w:widowControl w:val="0"/>
        <w:spacing w:before="60" w:after="60" w:line="240" w:lineRule="auto"/>
        <w:ind w:left="720"/>
        <w:outlineLvl w:val="1"/>
        <w:rPr>
          <w:rFonts w:ascii="Times New Roman" w:hAnsi="Times New Roman"/>
          <w:sz w:val="24"/>
          <w:szCs w:val="24"/>
        </w:rPr>
      </w:pPr>
      <w:r>
        <w:rPr>
          <w:rFonts w:ascii="Times New Roman" w:hAnsi="Times New Roman"/>
          <w:sz w:val="24"/>
          <w:szCs w:val="24"/>
        </w:rPr>
        <w:t>b) средневзвешенная цена на момент окончания торговой сессии российской биржи на дату определения СЧА, при условии, что данная цена находится в пределах спреда по спросу (bid) и предложению (</w:t>
      </w:r>
      <w:r>
        <w:rPr>
          <w:rFonts w:ascii="Times New Roman" w:hAnsi="Times New Roman"/>
          <w:sz w:val="24"/>
          <w:szCs w:val="24"/>
          <w:lang w:val="en-US"/>
        </w:rPr>
        <w:t>ask</w:t>
      </w:r>
      <w:r>
        <w:rPr>
          <w:rFonts w:ascii="Times New Roman" w:hAnsi="Times New Roman"/>
          <w:sz w:val="24"/>
          <w:szCs w:val="24"/>
        </w:rPr>
        <w:t>) на указанную дату;</w:t>
      </w:r>
    </w:p>
    <w:p w14:paraId="4D056211" w14:textId="77777777" w:rsidR="000C1E0E" w:rsidRDefault="000C1E0E" w:rsidP="000C1E0E">
      <w:pPr>
        <w:keepNext/>
        <w:widowControl w:val="0"/>
        <w:spacing w:before="60" w:after="60" w:line="240" w:lineRule="auto"/>
        <w:ind w:left="720"/>
        <w:outlineLvl w:val="1"/>
        <w:rPr>
          <w:rFonts w:ascii="Times New Roman" w:hAnsi="Times New Roman"/>
          <w:sz w:val="24"/>
          <w:szCs w:val="24"/>
        </w:rPr>
      </w:pPr>
      <w:r>
        <w:rPr>
          <w:rFonts w:ascii="Times New Roman" w:hAnsi="Times New Roman"/>
          <w:sz w:val="24"/>
          <w:szCs w:val="24"/>
        </w:rPr>
        <w:t>с) цена закрытия на момент окончания торговой сессии российской биржи на дату определения СЧА при условии подтверждения ее корректности.</w:t>
      </w:r>
    </w:p>
    <w:p w14:paraId="628FFB84" w14:textId="77777777" w:rsidR="000C1E0E" w:rsidRDefault="000C1E0E" w:rsidP="000C1E0E">
      <w:pPr>
        <w:keepNext/>
        <w:widowControl w:val="0"/>
        <w:spacing w:before="60" w:after="60" w:line="240" w:lineRule="auto"/>
        <w:ind w:left="720"/>
        <w:outlineLvl w:val="1"/>
        <w:rPr>
          <w:rFonts w:ascii="Times New Roman" w:hAnsi="Times New Roman"/>
          <w:sz w:val="24"/>
          <w:szCs w:val="24"/>
        </w:rPr>
      </w:pPr>
      <w:r>
        <w:rPr>
          <w:rFonts w:ascii="Times New Roman" w:hAnsi="Times New Roman"/>
          <w:sz w:val="24"/>
          <w:szCs w:val="24"/>
        </w:rPr>
        <w:t>Цена закрытия признается корректной, если раскрыты данные об объеме торгов за день и объем торгов не равен нулю с проверкой цены закрытия (CLOSE) &lt; &gt; 0.</w:t>
      </w:r>
    </w:p>
    <w:p w14:paraId="48B0F2E2" w14:textId="77777777" w:rsidR="000C1E0E" w:rsidRDefault="000C1E0E" w:rsidP="000C1E0E">
      <w:pPr>
        <w:keepNext/>
        <w:widowControl w:val="0"/>
        <w:spacing w:before="60" w:after="60" w:line="240" w:lineRule="auto"/>
        <w:ind w:left="720"/>
        <w:outlineLvl w:val="1"/>
        <w:rPr>
          <w:rFonts w:ascii="Times New Roman" w:hAnsi="Times New Roman"/>
          <w:sz w:val="24"/>
          <w:szCs w:val="24"/>
        </w:rPr>
      </w:pPr>
      <w:r>
        <w:rPr>
          <w:rFonts w:ascii="Times New Roman" w:hAnsi="Times New Roman"/>
          <w:sz w:val="24"/>
          <w:szCs w:val="24"/>
        </w:rPr>
        <w:t>Если для определения справедливой стоимости используются цены основного рынка за последний торговый день из числа активных иностранных бирж, то используются цены, выбранные в следующем порядке (убывания приоритета):</w:t>
      </w:r>
    </w:p>
    <w:p w14:paraId="4762B293" w14:textId="59F212B8" w:rsidR="000C1E0E" w:rsidRDefault="000C1E0E" w:rsidP="000C1E0E">
      <w:pPr>
        <w:keepNext/>
        <w:widowControl w:val="0"/>
        <w:spacing w:before="60" w:after="60" w:line="240" w:lineRule="auto"/>
        <w:ind w:left="720"/>
        <w:outlineLvl w:val="1"/>
        <w:rPr>
          <w:rFonts w:ascii="Times New Roman" w:hAnsi="Times New Roman"/>
          <w:sz w:val="24"/>
          <w:szCs w:val="24"/>
        </w:rPr>
      </w:pPr>
      <w:r>
        <w:rPr>
          <w:rFonts w:ascii="Times New Roman" w:hAnsi="Times New Roman"/>
          <w:sz w:val="24"/>
          <w:szCs w:val="24"/>
        </w:rPr>
        <w:t>a) цена спроса (bid last) на торг</w:t>
      </w:r>
      <w:r w:rsidR="00E06251">
        <w:rPr>
          <w:rFonts w:ascii="Times New Roman" w:hAnsi="Times New Roman"/>
          <w:sz w:val="24"/>
          <w:szCs w:val="24"/>
        </w:rPr>
        <w:t xml:space="preserve">овой площадке иностранной биржи </w:t>
      </w:r>
      <w:r>
        <w:rPr>
          <w:rFonts w:ascii="Times New Roman" w:hAnsi="Times New Roman"/>
          <w:sz w:val="24"/>
          <w:szCs w:val="24"/>
        </w:rPr>
        <w:t xml:space="preserve">на дату определения СЧА; </w:t>
      </w:r>
    </w:p>
    <w:p w14:paraId="30698F83" w14:textId="77777777" w:rsidR="000C1E0E" w:rsidRDefault="000C1E0E" w:rsidP="000C1E0E">
      <w:pPr>
        <w:keepNext/>
        <w:widowControl w:val="0"/>
        <w:spacing w:before="60" w:after="60" w:line="240" w:lineRule="auto"/>
        <w:ind w:left="720"/>
        <w:outlineLvl w:val="1"/>
        <w:rPr>
          <w:rFonts w:ascii="Times New Roman" w:hAnsi="Times New Roman"/>
          <w:sz w:val="24"/>
          <w:szCs w:val="24"/>
        </w:rPr>
      </w:pPr>
      <w:r>
        <w:rPr>
          <w:rFonts w:ascii="Times New Roman" w:hAnsi="Times New Roman"/>
          <w:sz w:val="24"/>
          <w:szCs w:val="24"/>
        </w:rPr>
        <w:t xml:space="preserve">Цена спроса (bid last), определенная на дату определения СЧА, признается корректной, если она находится в интервале между минимальной и максимальной ценами сделок на эту же дату этой же биржи;                </w:t>
      </w:r>
    </w:p>
    <w:p w14:paraId="5CB373D3" w14:textId="30AAE36D" w:rsidR="000C1E0E" w:rsidRDefault="000C1E0E" w:rsidP="000C1E0E">
      <w:pPr>
        <w:keepNext/>
        <w:widowControl w:val="0"/>
        <w:spacing w:before="60" w:after="60" w:line="240" w:lineRule="auto"/>
        <w:ind w:left="720"/>
        <w:outlineLvl w:val="1"/>
        <w:rPr>
          <w:rFonts w:ascii="Times New Roman" w:hAnsi="Times New Roman"/>
          <w:sz w:val="24"/>
          <w:szCs w:val="24"/>
        </w:rPr>
      </w:pPr>
      <w:r>
        <w:rPr>
          <w:rFonts w:ascii="Times New Roman" w:hAnsi="Times New Roman"/>
          <w:sz w:val="24"/>
          <w:szCs w:val="24"/>
        </w:rPr>
        <w:t>b) цена закрытия (</w:t>
      </w:r>
      <w:r>
        <w:rPr>
          <w:rFonts w:ascii="Times New Roman" w:hAnsi="Times New Roman"/>
          <w:sz w:val="24"/>
          <w:szCs w:val="24"/>
          <w:lang w:val="en-US"/>
        </w:rPr>
        <w:t>px</w:t>
      </w:r>
      <w:r>
        <w:rPr>
          <w:rFonts w:ascii="Times New Roman" w:hAnsi="Times New Roman"/>
          <w:sz w:val="24"/>
          <w:szCs w:val="24"/>
        </w:rPr>
        <w:t>_</w:t>
      </w:r>
      <w:r>
        <w:rPr>
          <w:rFonts w:ascii="Times New Roman" w:hAnsi="Times New Roman"/>
          <w:sz w:val="24"/>
          <w:szCs w:val="24"/>
          <w:lang w:val="en-US"/>
        </w:rPr>
        <w:t>last</w:t>
      </w:r>
      <w:r w:rsidR="00E06251">
        <w:rPr>
          <w:rFonts w:ascii="Times New Roman" w:hAnsi="Times New Roman"/>
          <w:sz w:val="24"/>
          <w:szCs w:val="24"/>
        </w:rPr>
        <w:t>) на</w:t>
      </w:r>
      <w:r>
        <w:rPr>
          <w:rFonts w:ascii="Times New Roman" w:hAnsi="Times New Roman"/>
          <w:sz w:val="24"/>
          <w:szCs w:val="24"/>
        </w:rPr>
        <w:t xml:space="preserve"> торговой площадке иностранной биржи  на дату определения СЧА при условии подтверждения ее корректности;</w:t>
      </w:r>
    </w:p>
    <w:p w14:paraId="6B6F3A52" w14:textId="77777777" w:rsidR="000C1E0E" w:rsidRDefault="000C1E0E" w:rsidP="000C1E0E">
      <w:pPr>
        <w:keepNext/>
        <w:widowControl w:val="0"/>
        <w:spacing w:before="60" w:after="60" w:line="240" w:lineRule="auto"/>
        <w:ind w:left="720"/>
        <w:outlineLvl w:val="1"/>
        <w:rPr>
          <w:rFonts w:ascii="Times New Roman" w:hAnsi="Times New Roman"/>
          <w:sz w:val="24"/>
          <w:szCs w:val="24"/>
        </w:rPr>
      </w:pPr>
      <w:r>
        <w:rPr>
          <w:rFonts w:ascii="Times New Roman" w:hAnsi="Times New Roman"/>
          <w:sz w:val="24"/>
          <w:szCs w:val="24"/>
        </w:rPr>
        <w:t>Цена закрытия признается корректной, если раскрыты данные об объеме торгов за день и объем торгов не равен нулю.</w:t>
      </w:r>
    </w:p>
    <w:p w14:paraId="251D3F5F" w14:textId="77777777" w:rsidR="000C1E0E" w:rsidRDefault="000C1E0E" w:rsidP="000C1E0E">
      <w:pPr>
        <w:keepNext/>
        <w:widowControl w:val="0"/>
        <w:spacing w:before="60" w:after="60" w:line="240" w:lineRule="auto"/>
        <w:ind w:left="720"/>
        <w:outlineLvl w:val="1"/>
        <w:rPr>
          <w:rFonts w:ascii="Times New Roman" w:hAnsi="Times New Roman"/>
          <w:b/>
          <w:sz w:val="24"/>
          <w:szCs w:val="24"/>
        </w:rPr>
      </w:pPr>
      <w:r>
        <w:rPr>
          <w:rFonts w:ascii="Times New Roman" w:hAnsi="Times New Roman"/>
          <w:b/>
          <w:sz w:val="24"/>
          <w:szCs w:val="24"/>
          <w:u w:val="single"/>
        </w:rPr>
        <w:t>2 уровень цен</w:t>
      </w:r>
      <w:r>
        <w:rPr>
          <w:rFonts w:ascii="Times New Roman" w:hAnsi="Times New Roman"/>
          <w:b/>
          <w:sz w:val="24"/>
          <w:szCs w:val="24"/>
        </w:rPr>
        <w:t xml:space="preserve">: </w:t>
      </w:r>
    </w:p>
    <w:p w14:paraId="6E14E26C" w14:textId="77777777" w:rsidR="000C1E0E" w:rsidRDefault="000C1E0E" w:rsidP="000C1E0E">
      <w:pPr>
        <w:keepNext/>
        <w:widowControl w:val="0"/>
        <w:spacing w:before="60" w:after="60" w:line="240" w:lineRule="auto"/>
        <w:ind w:left="720"/>
        <w:outlineLvl w:val="1"/>
        <w:rPr>
          <w:rFonts w:ascii="Times New Roman" w:hAnsi="Times New Roman"/>
          <w:b/>
          <w:sz w:val="24"/>
          <w:szCs w:val="24"/>
        </w:rPr>
      </w:pPr>
      <w:r>
        <w:rPr>
          <w:rFonts w:ascii="Times New Roman" w:hAnsi="Times New Roman"/>
          <w:sz w:val="24"/>
          <w:szCs w:val="24"/>
        </w:rPr>
        <w:t>а)</w:t>
      </w:r>
      <w:r>
        <w:rPr>
          <w:rFonts w:ascii="Times New Roman" w:hAnsi="Times New Roman"/>
          <w:b/>
          <w:sz w:val="24"/>
          <w:szCs w:val="24"/>
        </w:rPr>
        <w:t xml:space="preserve"> Для акций иностранный эмитентов.</w:t>
      </w:r>
    </w:p>
    <w:p w14:paraId="323F2AF1" w14:textId="77777777" w:rsidR="000C1E0E" w:rsidRDefault="000C1E0E" w:rsidP="000C1E0E">
      <w:pPr>
        <w:keepNext/>
        <w:widowControl w:val="0"/>
        <w:spacing w:before="60" w:after="60" w:line="240" w:lineRule="auto"/>
        <w:ind w:left="720"/>
        <w:outlineLvl w:val="1"/>
        <w:rPr>
          <w:rFonts w:ascii="Times New Roman" w:hAnsi="Times New Roman"/>
          <w:sz w:val="24"/>
          <w:szCs w:val="24"/>
        </w:rPr>
      </w:pPr>
      <w:r>
        <w:rPr>
          <w:rFonts w:ascii="Times New Roman" w:hAnsi="Times New Roman"/>
          <w:sz w:val="24"/>
          <w:szCs w:val="24"/>
        </w:rPr>
        <w:t>Справедливая стоимость акций иностранных эмитентов, обращающихся на российских и иностранных фондовых биржах, определяется аналогично акциям российских эмитентов в соответствии с п.3.10.2 (2 уровень цен) с учетом следующих особенностей:</w:t>
      </w:r>
    </w:p>
    <w:p w14:paraId="3C5F33FF" w14:textId="77777777" w:rsidR="000C1E0E" w:rsidRDefault="000C1E0E" w:rsidP="000C1E0E">
      <w:pPr>
        <w:ind w:left="709"/>
        <w:rPr>
          <w:rFonts w:ascii="Times New Roman" w:hAnsi="Times New Roman"/>
          <w:sz w:val="24"/>
          <w:szCs w:val="24"/>
        </w:rPr>
      </w:pPr>
      <w:r>
        <w:rPr>
          <w:rFonts w:ascii="Times New Roman" w:hAnsi="Times New Roman"/>
          <w:sz w:val="24"/>
          <w:szCs w:val="24"/>
        </w:rPr>
        <w:t xml:space="preserve">- для акций иностранных эмитентов в качестве безрисковой ставки доходности применяется ставка </w:t>
      </w:r>
      <w:r>
        <w:rPr>
          <w:rFonts w:ascii="Times New Roman" w:hAnsi="Times New Roman"/>
          <w:b/>
          <w:sz w:val="24"/>
          <w:szCs w:val="24"/>
        </w:rPr>
        <w:t>по государственным бумагам, «страна риска» которых соответствует «стране риска» оцениваемой акции</w:t>
      </w:r>
      <w:r>
        <w:rPr>
          <w:rFonts w:ascii="Times New Roman" w:hAnsi="Times New Roman"/>
          <w:sz w:val="24"/>
          <w:szCs w:val="24"/>
        </w:rPr>
        <w:t>.</w:t>
      </w:r>
    </w:p>
    <w:p w14:paraId="2B5A8C50" w14:textId="77777777" w:rsidR="000C1E0E" w:rsidRDefault="000C1E0E" w:rsidP="000C1E0E">
      <w:pPr>
        <w:spacing w:line="276" w:lineRule="auto"/>
        <w:ind w:left="708"/>
        <w:rPr>
          <w:rFonts w:ascii="Times New Roman" w:hAnsi="Times New Roman"/>
          <w:sz w:val="24"/>
          <w:szCs w:val="24"/>
        </w:rPr>
      </w:pPr>
      <w:r>
        <w:rPr>
          <w:rFonts w:ascii="Times New Roman" w:hAnsi="Times New Roman"/>
          <w:sz w:val="24"/>
          <w:szCs w:val="24"/>
        </w:rPr>
        <w:t xml:space="preserve">В случае, если валюта рыночного индикатора отличается от валюты оцениваемой ценной бумаги, расчет производится с учетом курсовой разницы по курсу Банка России.  </w:t>
      </w:r>
    </w:p>
    <w:p w14:paraId="4BC5A843" w14:textId="77777777" w:rsidR="000C1E0E" w:rsidRDefault="000C1E0E" w:rsidP="000C1E0E">
      <w:pPr>
        <w:spacing w:line="276" w:lineRule="auto"/>
        <w:ind w:left="708"/>
        <w:rPr>
          <w:rFonts w:ascii="Times New Roman" w:hAnsi="Times New Roman"/>
          <w:sz w:val="24"/>
          <w:szCs w:val="24"/>
        </w:rPr>
      </w:pPr>
      <w:r>
        <w:rPr>
          <w:rFonts w:ascii="Times New Roman" w:hAnsi="Times New Roman"/>
          <w:sz w:val="24"/>
          <w:szCs w:val="24"/>
        </w:rPr>
        <w:t>- при использовании модели CAPM в целях расчета коэффициента «бета» применяются значения цены закрытия биржи, на которой определена надлежащая котировка уровня 1 иерархии справедливой стоимости на дату, предшествующей дате возникновения оснований для применения модели CAPМ.</w:t>
      </w:r>
    </w:p>
    <w:p w14:paraId="78D4EBF3" w14:textId="77777777" w:rsidR="000C1E0E" w:rsidRDefault="000C1E0E" w:rsidP="000C1E0E">
      <w:pPr>
        <w:spacing w:line="276" w:lineRule="auto"/>
        <w:ind w:left="708"/>
        <w:rPr>
          <w:rFonts w:ascii="Times New Roman" w:hAnsi="Times New Roman"/>
          <w:sz w:val="24"/>
          <w:szCs w:val="24"/>
        </w:rPr>
      </w:pPr>
      <w:r>
        <w:rPr>
          <w:rFonts w:ascii="Times New Roman" w:hAnsi="Times New Roman"/>
          <w:sz w:val="24"/>
          <w:szCs w:val="24"/>
        </w:rPr>
        <w:t>При отсутствии объема торгов на дату определения СЧА за исключением случаев, указанных в п.3.9.3 настоящих Правил, для определения справедливой стоимости акций и депозитарных расписок, обращающихся на иностранных фондовых биржах, применяется усредненное за последние десять торговых дней значение двусторонней котировки, рассчитанное по следующей формуле:</w:t>
      </w:r>
    </w:p>
    <w:p w14:paraId="1B6CD2C6" w14:textId="77777777" w:rsidR="000C1E0E" w:rsidRDefault="000C1E0E" w:rsidP="000C1E0E">
      <w:pPr>
        <w:ind w:left="709"/>
        <w:jc w:val="left"/>
        <w:rPr>
          <w:rFonts w:ascii="Times New Roman" w:hAnsi="Times New Roman"/>
          <w:sz w:val="24"/>
          <w:szCs w:val="24"/>
        </w:rPr>
      </w:pPr>
      <w:r>
        <w:rPr>
          <w:noProof/>
        </w:rPr>
        <w:drawing>
          <wp:inline distT="0" distB="0" distL="0" distR="0" wp14:anchorId="144F9E78" wp14:editId="4D7F1E36">
            <wp:extent cx="4876800" cy="485775"/>
            <wp:effectExtent l="0" t="0" r="0" b="9525"/>
            <wp:docPr id="8" name="Рисунок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876800" cy="485775"/>
                    </a:xfrm>
                    <a:prstGeom prst="rect">
                      <a:avLst/>
                    </a:prstGeom>
                    <a:noFill/>
                    <a:ln>
                      <a:noFill/>
                    </a:ln>
                  </pic:spPr>
                </pic:pic>
              </a:graphicData>
            </a:graphic>
          </wp:inline>
        </w:drawing>
      </w:r>
    </w:p>
    <w:p w14:paraId="38DEB565" w14:textId="77777777" w:rsidR="000C1E0E" w:rsidRDefault="000C1E0E" w:rsidP="000C1E0E">
      <w:pPr>
        <w:spacing w:line="276" w:lineRule="auto"/>
        <w:ind w:left="708"/>
        <w:rPr>
          <w:rFonts w:ascii="Times New Roman" w:hAnsi="Times New Roman"/>
          <w:sz w:val="24"/>
          <w:szCs w:val="24"/>
        </w:rPr>
      </w:pPr>
      <w:r>
        <w:rPr>
          <w:rFonts w:ascii="Times New Roman" w:hAnsi="Times New Roman"/>
          <w:sz w:val="24"/>
          <w:szCs w:val="24"/>
        </w:rPr>
        <w:t>где n – дата определения СЧА</w:t>
      </w:r>
    </w:p>
    <w:p w14:paraId="52E1B7C3" w14:textId="1B8490E4" w:rsidR="000C1E0E" w:rsidRDefault="000C1E0E" w:rsidP="000C1E0E">
      <w:pPr>
        <w:spacing w:line="276" w:lineRule="auto"/>
        <w:ind w:left="708"/>
        <w:rPr>
          <w:rFonts w:ascii="Times New Roman" w:hAnsi="Times New Roman"/>
          <w:sz w:val="24"/>
          <w:szCs w:val="24"/>
        </w:rPr>
      </w:pPr>
      <w:r>
        <w:rPr>
          <w:rFonts w:ascii="Times New Roman" w:hAnsi="Times New Roman"/>
          <w:sz w:val="24"/>
          <w:szCs w:val="24"/>
        </w:rPr>
        <w:t>PX_MID   – среднее значение между ценой спроса PX_BID и предложения PX_ASK за последние 10 торговых дней</w:t>
      </w:r>
    </w:p>
    <w:p w14:paraId="38538609" w14:textId="03860CB5" w:rsidR="000C1E0E" w:rsidRDefault="000C1E0E" w:rsidP="000C1E0E">
      <w:pPr>
        <w:spacing w:line="276" w:lineRule="auto"/>
        <w:ind w:left="708"/>
        <w:rPr>
          <w:rFonts w:ascii="Times New Roman" w:hAnsi="Times New Roman"/>
          <w:sz w:val="24"/>
          <w:szCs w:val="24"/>
        </w:rPr>
      </w:pPr>
      <w:r>
        <w:rPr>
          <w:rFonts w:ascii="Times New Roman" w:hAnsi="Times New Roman"/>
          <w:sz w:val="24"/>
          <w:szCs w:val="24"/>
        </w:rPr>
        <w:t>PX_BID - наибольшая цена спроса, опубликованная информационным ресурсом Bloomberg,</w:t>
      </w:r>
    </w:p>
    <w:p w14:paraId="7749EB12" w14:textId="77777777" w:rsidR="000C1E0E" w:rsidRDefault="000C1E0E" w:rsidP="000C1E0E">
      <w:pPr>
        <w:spacing w:line="276" w:lineRule="auto"/>
        <w:ind w:left="708"/>
        <w:jc w:val="left"/>
        <w:rPr>
          <w:rFonts w:ascii="Times New Roman" w:hAnsi="Times New Roman"/>
          <w:sz w:val="24"/>
          <w:szCs w:val="24"/>
        </w:rPr>
      </w:pPr>
      <w:r>
        <w:rPr>
          <w:rFonts w:ascii="Times New Roman" w:hAnsi="Times New Roman"/>
          <w:sz w:val="24"/>
          <w:szCs w:val="24"/>
        </w:rPr>
        <w:t>PX_ASK – наименьшая цена предложения, опубликованная информационным ресурсом Bloomberg.</w:t>
      </w:r>
      <w:r>
        <w:rPr>
          <w:rFonts w:ascii="Times New Roman" w:hAnsi="Times New Roman"/>
          <w:sz w:val="24"/>
          <w:szCs w:val="24"/>
        </w:rPr>
        <w:br/>
        <w:t>Данная цена считается корректной при соблюдении одновременно следующих условий:</w:t>
      </w:r>
      <w:r>
        <w:rPr>
          <w:rFonts w:ascii="Times New Roman" w:hAnsi="Times New Roman"/>
          <w:sz w:val="24"/>
          <w:szCs w:val="24"/>
        </w:rPr>
        <w:br/>
        <w:t>- в течение 10 предшествующих торговых дней непрерывно наблюдались двусторонние котировки, внутридневное количество которых не менее 10 - спред между двусторонними котировками на дату определения СЧА составляет менее 20%.</w:t>
      </w:r>
    </w:p>
    <w:p w14:paraId="69CC0FA4" w14:textId="77777777" w:rsidR="000C1E0E" w:rsidRDefault="000C1E0E" w:rsidP="000C1E0E">
      <w:pPr>
        <w:spacing w:line="276" w:lineRule="auto"/>
        <w:ind w:left="708"/>
        <w:rPr>
          <w:rFonts w:ascii="Times New Roman" w:hAnsi="Times New Roman"/>
          <w:b/>
          <w:sz w:val="24"/>
          <w:szCs w:val="24"/>
        </w:rPr>
      </w:pPr>
      <w:r>
        <w:rPr>
          <w:rFonts w:ascii="Times New Roman" w:hAnsi="Times New Roman"/>
          <w:sz w:val="24"/>
          <w:szCs w:val="24"/>
        </w:rPr>
        <w:t>б)</w:t>
      </w:r>
      <w:r>
        <w:rPr>
          <w:rFonts w:ascii="Times New Roman" w:hAnsi="Times New Roman"/>
          <w:b/>
          <w:sz w:val="24"/>
          <w:szCs w:val="24"/>
        </w:rPr>
        <w:t xml:space="preserve"> Для облигаций внешних облигационных займов Российской Федерации, еврооблигаций иностранных эмитентов, долговых ценных бумаг иностранных государств, ценных бумаг международной финансовой организации.</w:t>
      </w:r>
    </w:p>
    <w:p w14:paraId="5480FB64" w14:textId="77777777" w:rsidR="000C1E0E" w:rsidRDefault="000C1E0E" w:rsidP="000C1E0E">
      <w:pPr>
        <w:spacing w:line="276" w:lineRule="auto"/>
        <w:ind w:left="708"/>
        <w:rPr>
          <w:rFonts w:ascii="Times New Roman" w:hAnsi="Times New Roman"/>
          <w:sz w:val="24"/>
          <w:szCs w:val="24"/>
        </w:rPr>
      </w:pPr>
      <w:r>
        <w:rPr>
          <w:rFonts w:ascii="Times New Roman" w:hAnsi="Times New Roman"/>
          <w:sz w:val="24"/>
          <w:szCs w:val="24"/>
        </w:rPr>
        <w:t>Справедливая стоимость облигаций внешних облигационных займов Российской Федерации, еврооблигаций иностранных эмитентов, долговых ценных бумаг иностранных государств, ценных бумаг международной финансовой организации определяется в следующем порядке:</w:t>
      </w:r>
    </w:p>
    <w:p w14:paraId="73390BFC" w14:textId="77777777" w:rsidR="000C1E0E" w:rsidRDefault="000C1E0E" w:rsidP="000C1E0E">
      <w:pPr>
        <w:spacing w:line="276" w:lineRule="auto"/>
        <w:ind w:left="708"/>
        <w:rPr>
          <w:rFonts w:ascii="Times New Roman" w:hAnsi="Times New Roman"/>
          <w:sz w:val="24"/>
          <w:szCs w:val="24"/>
        </w:rPr>
      </w:pPr>
      <w:r>
        <w:rPr>
          <w:rFonts w:ascii="Times New Roman" w:hAnsi="Times New Roman"/>
          <w:sz w:val="24"/>
          <w:szCs w:val="24"/>
        </w:rPr>
        <w:t>1 уровень цен: не применяется, за исключением случаев, указанных в пункте 3.9.2.</w:t>
      </w:r>
    </w:p>
    <w:p w14:paraId="6E8DA886" w14:textId="77777777" w:rsidR="000C1E0E" w:rsidRDefault="000C1E0E" w:rsidP="000C1E0E">
      <w:pPr>
        <w:spacing w:line="276" w:lineRule="auto"/>
        <w:ind w:left="708"/>
        <w:rPr>
          <w:rFonts w:ascii="Times New Roman" w:hAnsi="Times New Roman"/>
          <w:sz w:val="24"/>
          <w:szCs w:val="24"/>
        </w:rPr>
      </w:pPr>
      <w:r>
        <w:rPr>
          <w:rFonts w:ascii="Times New Roman" w:hAnsi="Times New Roman"/>
          <w:sz w:val="24"/>
          <w:szCs w:val="24"/>
        </w:rPr>
        <w:t>2 уровень цен: в порядке убывания приоритета применяется:</w:t>
      </w:r>
    </w:p>
    <w:p w14:paraId="4B86FEC3" w14:textId="77777777" w:rsidR="000C1E0E" w:rsidRDefault="000C1E0E" w:rsidP="000C1E0E">
      <w:pPr>
        <w:spacing w:line="276" w:lineRule="auto"/>
        <w:ind w:left="708"/>
        <w:rPr>
          <w:rFonts w:ascii="Times New Roman" w:hAnsi="Times New Roman"/>
          <w:sz w:val="24"/>
          <w:szCs w:val="24"/>
        </w:rPr>
      </w:pPr>
      <w:r>
        <w:rPr>
          <w:rFonts w:ascii="Times New Roman" w:hAnsi="Times New Roman"/>
          <w:sz w:val="24"/>
          <w:szCs w:val="24"/>
        </w:rPr>
        <w:t>- цена закрытия торгового дня BGN (</w:t>
      </w:r>
      <w:r>
        <w:rPr>
          <w:rFonts w:ascii="Times New Roman" w:hAnsi="Times New Roman"/>
          <w:sz w:val="24"/>
          <w:szCs w:val="24"/>
          <w:lang w:val="en-US"/>
        </w:rPr>
        <w:t>l</w:t>
      </w:r>
      <w:r>
        <w:rPr>
          <w:rFonts w:ascii="Times New Roman" w:hAnsi="Times New Roman"/>
          <w:sz w:val="24"/>
          <w:szCs w:val="24"/>
        </w:rPr>
        <w:t xml:space="preserve">ast </w:t>
      </w:r>
      <w:r>
        <w:rPr>
          <w:rFonts w:ascii="Times New Roman" w:hAnsi="Times New Roman"/>
          <w:sz w:val="24"/>
          <w:szCs w:val="24"/>
          <w:lang w:val="en-US"/>
        </w:rPr>
        <w:t>p</w:t>
      </w:r>
      <w:r>
        <w:rPr>
          <w:rFonts w:ascii="Times New Roman" w:hAnsi="Times New Roman"/>
          <w:sz w:val="24"/>
          <w:szCs w:val="24"/>
        </w:rPr>
        <w:t xml:space="preserve">rice), рассчитанная информационным агентством "Блумберг" (Bloomberg); </w:t>
      </w:r>
    </w:p>
    <w:p w14:paraId="14E84FD7" w14:textId="77777777" w:rsidR="000C1E0E" w:rsidRDefault="000C1E0E" w:rsidP="000C1E0E">
      <w:pPr>
        <w:spacing w:line="276" w:lineRule="auto"/>
        <w:ind w:left="708"/>
        <w:rPr>
          <w:rFonts w:ascii="Times New Roman" w:hAnsi="Times New Roman"/>
          <w:sz w:val="24"/>
          <w:szCs w:val="24"/>
        </w:rPr>
      </w:pPr>
      <w:r>
        <w:rPr>
          <w:rFonts w:ascii="Times New Roman" w:hAnsi="Times New Roman"/>
          <w:sz w:val="24"/>
          <w:szCs w:val="24"/>
        </w:rPr>
        <w:t>- цена BVAL (</w:t>
      </w:r>
      <w:r>
        <w:rPr>
          <w:rFonts w:ascii="Times New Roman" w:hAnsi="Times New Roman"/>
          <w:sz w:val="24"/>
          <w:szCs w:val="24"/>
          <w:lang w:val="en-US"/>
        </w:rPr>
        <w:t>m</w:t>
      </w:r>
      <w:r>
        <w:rPr>
          <w:rFonts w:ascii="Times New Roman" w:hAnsi="Times New Roman"/>
          <w:sz w:val="24"/>
          <w:szCs w:val="24"/>
        </w:rPr>
        <w:t xml:space="preserve">id </w:t>
      </w:r>
      <w:r>
        <w:rPr>
          <w:rFonts w:ascii="Times New Roman" w:hAnsi="Times New Roman"/>
          <w:sz w:val="24"/>
          <w:szCs w:val="24"/>
          <w:lang w:val="en-US"/>
        </w:rPr>
        <w:t>BVAL</w:t>
      </w:r>
      <w:r>
        <w:rPr>
          <w:rFonts w:ascii="Times New Roman" w:hAnsi="Times New Roman"/>
          <w:sz w:val="24"/>
          <w:szCs w:val="24"/>
        </w:rPr>
        <w:t xml:space="preserve">) с </w:t>
      </w:r>
      <w:r>
        <w:rPr>
          <w:rFonts w:ascii="Times New Roman" w:hAnsi="Times New Roman"/>
          <w:sz w:val="24"/>
          <w:szCs w:val="24"/>
          <w:lang w:val="en-US"/>
        </w:rPr>
        <w:t>BVAL</w:t>
      </w:r>
      <w:r w:rsidRPr="00811E19">
        <w:rPr>
          <w:rFonts w:ascii="Times New Roman" w:hAnsi="Times New Roman"/>
          <w:sz w:val="24"/>
          <w:szCs w:val="24"/>
        </w:rPr>
        <w:t xml:space="preserve"> </w:t>
      </w:r>
      <w:r>
        <w:rPr>
          <w:rFonts w:ascii="Times New Roman" w:hAnsi="Times New Roman"/>
          <w:sz w:val="24"/>
          <w:szCs w:val="24"/>
          <w:lang w:val="en-US"/>
        </w:rPr>
        <w:t>Score</w:t>
      </w:r>
      <w:r>
        <w:rPr>
          <w:rFonts w:ascii="Times New Roman" w:hAnsi="Times New Roman"/>
          <w:sz w:val="24"/>
          <w:szCs w:val="24"/>
        </w:rPr>
        <w:t xml:space="preserve"> равен 6 и выше, рассчитанная информационным агентством "Блумберг" (Bloomberg).</w:t>
      </w:r>
    </w:p>
    <w:p w14:paraId="2F4BAC25" w14:textId="77777777" w:rsidR="000C1E0E" w:rsidRDefault="000C1E0E" w:rsidP="000C1E0E">
      <w:pPr>
        <w:spacing w:line="276" w:lineRule="auto"/>
        <w:ind w:left="708"/>
        <w:rPr>
          <w:rFonts w:ascii="Times New Roman" w:hAnsi="Times New Roman"/>
          <w:sz w:val="24"/>
          <w:szCs w:val="24"/>
        </w:rPr>
      </w:pPr>
      <w:r>
        <w:rPr>
          <w:rFonts w:ascii="Times New Roman" w:hAnsi="Times New Roman"/>
          <w:sz w:val="24"/>
          <w:szCs w:val="24"/>
        </w:rPr>
        <w:t>В случае отсутствия цен закрытия в информационной системе Bloomberg в связи с неторговым днем бирж, по итогам торгов на которых определяется цена закрытия, то для целей определения справедливой стоимости активов используется цена закрытия последнего торгового дня.</w:t>
      </w:r>
    </w:p>
    <w:p w14:paraId="0517D466" w14:textId="77777777" w:rsidR="000C1E0E" w:rsidRDefault="000C1E0E" w:rsidP="000C1E0E">
      <w:pPr>
        <w:keepNext/>
        <w:widowControl w:val="0"/>
        <w:spacing w:before="60" w:after="60" w:line="240" w:lineRule="auto"/>
        <w:ind w:left="720"/>
        <w:outlineLvl w:val="1"/>
        <w:rPr>
          <w:rFonts w:ascii="Times New Roman" w:hAnsi="Times New Roman"/>
          <w:b/>
          <w:sz w:val="24"/>
          <w:szCs w:val="24"/>
          <w:u w:val="single"/>
        </w:rPr>
      </w:pPr>
      <w:r>
        <w:rPr>
          <w:rFonts w:ascii="Times New Roman" w:hAnsi="Times New Roman"/>
          <w:b/>
          <w:sz w:val="24"/>
          <w:szCs w:val="24"/>
          <w:u w:val="single"/>
        </w:rPr>
        <w:t>3 уровень цен:</w:t>
      </w:r>
    </w:p>
    <w:p w14:paraId="7E3BEF12" w14:textId="77777777" w:rsidR="000C1E0E" w:rsidRDefault="000C1E0E" w:rsidP="000C1E0E">
      <w:pPr>
        <w:autoSpaceDE w:val="0"/>
        <w:autoSpaceDN w:val="0"/>
        <w:adjustRightInd w:val="0"/>
        <w:spacing w:line="240" w:lineRule="auto"/>
        <w:ind w:left="709"/>
        <w:rPr>
          <w:rFonts w:ascii="Times New Roman" w:hAnsi="Times New Roman"/>
          <w:sz w:val="24"/>
          <w:szCs w:val="24"/>
        </w:rPr>
      </w:pPr>
      <w:r>
        <w:rPr>
          <w:rFonts w:ascii="Times New Roman" w:hAnsi="Times New Roman"/>
          <w:sz w:val="24"/>
          <w:szCs w:val="24"/>
        </w:rPr>
        <w:t>Цена, определенная по модели оценки в соответствии с Приложением №1 к настоящим Правилам (Уровень 3).</w:t>
      </w:r>
    </w:p>
    <w:p w14:paraId="5C4F7136" w14:textId="77777777" w:rsidR="000C1E0E" w:rsidRDefault="000C1E0E" w:rsidP="000C1E0E">
      <w:pPr>
        <w:keepNext/>
        <w:widowControl w:val="0"/>
        <w:spacing w:before="60" w:after="60" w:line="240" w:lineRule="auto"/>
        <w:ind w:left="720"/>
        <w:outlineLvl w:val="1"/>
        <w:rPr>
          <w:rFonts w:ascii="Times New Roman" w:hAnsi="Times New Roman"/>
          <w:sz w:val="24"/>
          <w:szCs w:val="24"/>
        </w:rPr>
      </w:pPr>
      <w:r>
        <w:rPr>
          <w:rFonts w:ascii="Times New Roman" w:hAnsi="Times New Roman"/>
          <w:sz w:val="24"/>
          <w:szCs w:val="24"/>
        </w:rPr>
        <w:t xml:space="preserve">Цена, на основании отчета оценщика, с даты оценки которого прошло не более 6 месяцев на дату определения СЧА. </w:t>
      </w:r>
    </w:p>
    <w:p w14:paraId="6EB6FF34" w14:textId="77777777" w:rsidR="000C1E0E" w:rsidRDefault="000C1E0E" w:rsidP="000C1E0E">
      <w:pPr>
        <w:keepNext/>
        <w:widowControl w:val="0"/>
        <w:numPr>
          <w:ilvl w:val="2"/>
          <w:numId w:val="4"/>
        </w:numPr>
        <w:spacing w:before="60" w:after="60" w:line="240" w:lineRule="auto"/>
        <w:outlineLvl w:val="1"/>
        <w:rPr>
          <w:rFonts w:ascii="Times New Roman" w:hAnsi="Times New Roman"/>
          <w:b/>
          <w:sz w:val="24"/>
          <w:szCs w:val="24"/>
        </w:rPr>
      </w:pPr>
      <w:r>
        <w:rPr>
          <w:rFonts w:ascii="Times New Roman" w:hAnsi="Times New Roman"/>
          <w:b/>
          <w:sz w:val="24"/>
          <w:szCs w:val="24"/>
        </w:rPr>
        <w:t xml:space="preserve">Справедливая стоимость инвестиционных паев российских паевых инвестиционных фондов, ипотечных сертификатов участия определяется в следующем порядке: </w:t>
      </w:r>
    </w:p>
    <w:p w14:paraId="7D695EE1" w14:textId="77777777" w:rsidR="000C1E0E" w:rsidRDefault="000C1E0E" w:rsidP="000C1E0E">
      <w:pPr>
        <w:keepNext/>
        <w:widowControl w:val="0"/>
        <w:spacing w:before="60" w:after="60" w:line="240" w:lineRule="auto"/>
        <w:ind w:left="720"/>
        <w:outlineLvl w:val="1"/>
        <w:rPr>
          <w:rFonts w:ascii="Times New Roman" w:hAnsi="Times New Roman"/>
          <w:sz w:val="24"/>
          <w:szCs w:val="24"/>
        </w:rPr>
      </w:pPr>
      <w:r>
        <w:rPr>
          <w:rFonts w:ascii="Times New Roman" w:hAnsi="Times New Roman"/>
          <w:sz w:val="24"/>
          <w:szCs w:val="24"/>
          <w:u w:val="single"/>
        </w:rPr>
        <w:t>1 уровень цен</w:t>
      </w:r>
      <w:r>
        <w:rPr>
          <w:rFonts w:ascii="Times New Roman" w:hAnsi="Times New Roman"/>
          <w:sz w:val="24"/>
          <w:szCs w:val="24"/>
        </w:rPr>
        <w:t xml:space="preserve">: </w:t>
      </w:r>
    </w:p>
    <w:p w14:paraId="4E69DAA5" w14:textId="77777777" w:rsidR="000C1E0E" w:rsidRDefault="000C1E0E" w:rsidP="000C1E0E">
      <w:pPr>
        <w:keepNext/>
        <w:widowControl w:val="0"/>
        <w:spacing w:before="60" w:after="60" w:line="240" w:lineRule="auto"/>
        <w:ind w:left="720"/>
        <w:outlineLvl w:val="1"/>
        <w:rPr>
          <w:rFonts w:ascii="Times New Roman" w:hAnsi="Times New Roman"/>
          <w:sz w:val="24"/>
          <w:szCs w:val="24"/>
        </w:rPr>
      </w:pPr>
      <w:r>
        <w:rPr>
          <w:rFonts w:ascii="Times New Roman" w:hAnsi="Times New Roman"/>
          <w:sz w:val="24"/>
          <w:szCs w:val="24"/>
        </w:rPr>
        <w:t>Справедливая стоимость пая/акции рассчитывается аналогично ценным бумагам российских эмитентов по 1 уровню цен.</w:t>
      </w:r>
    </w:p>
    <w:p w14:paraId="4DF5BDFD" w14:textId="77777777" w:rsidR="000C1E0E" w:rsidRDefault="000C1E0E" w:rsidP="000C1E0E">
      <w:pPr>
        <w:keepNext/>
        <w:widowControl w:val="0"/>
        <w:spacing w:before="60" w:after="60" w:line="240" w:lineRule="auto"/>
        <w:ind w:left="720"/>
        <w:outlineLvl w:val="1"/>
        <w:rPr>
          <w:rFonts w:ascii="Times New Roman" w:hAnsi="Times New Roman"/>
          <w:sz w:val="24"/>
          <w:szCs w:val="24"/>
        </w:rPr>
      </w:pPr>
      <w:r>
        <w:rPr>
          <w:rFonts w:ascii="Times New Roman" w:hAnsi="Times New Roman"/>
          <w:sz w:val="24"/>
          <w:szCs w:val="24"/>
          <w:u w:val="single"/>
        </w:rPr>
        <w:t>2 уровень цен</w:t>
      </w:r>
      <w:r>
        <w:rPr>
          <w:rFonts w:ascii="Times New Roman" w:hAnsi="Times New Roman"/>
          <w:sz w:val="24"/>
          <w:szCs w:val="24"/>
        </w:rPr>
        <w:t>: расчетная стоимость, раскрытая/предоставленная Управляющей компанией Фонда/ ипотечного покрытия, в сроки, предусмотренные нормативными актами Банка России;</w:t>
      </w:r>
    </w:p>
    <w:p w14:paraId="678668C7" w14:textId="77777777" w:rsidR="000C1E0E" w:rsidRDefault="000C1E0E" w:rsidP="000C1E0E">
      <w:pPr>
        <w:keepNext/>
        <w:widowControl w:val="0"/>
        <w:spacing w:before="60" w:after="60" w:line="240" w:lineRule="auto"/>
        <w:ind w:left="720"/>
        <w:outlineLvl w:val="1"/>
        <w:rPr>
          <w:rFonts w:ascii="Times New Roman" w:hAnsi="Times New Roman"/>
          <w:sz w:val="24"/>
          <w:szCs w:val="24"/>
        </w:rPr>
      </w:pPr>
      <w:r>
        <w:rPr>
          <w:rFonts w:ascii="Times New Roman" w:hAnsi="Times New Roman"/>
          <w:sz w:val="24"/>
          <w:szCs w:val="24"/>
          <w:u w:val="single"/>
        </w:rPr>
        <w:t>3 уровень цен:</w:t>
      </w:r>
      <w:r>
        <w:rPr>
          <w:rFonts w:ascii="Times New Roman" w:hAnsi="Times New Roman"/>
          <w:sz w:val="24"/>
          <w:szCs w:val="24"/>
        </w:rPr>
        <w:t xml:space="preserve"> цена, на основании отчета оценщика, с даты оценки которого прошло не более 6 месяцев на дату определения СЧА.</w:t>
      </w:r>
    </w:p>
    <w:p w14:paraId="2A6E7A47" w14:textId="77777777" w:rsidR="000C1E0E" w:rsidRDefault="000C1E0E" w:rsidP="000C1E0E">
      <w:pPr>
        <w:keepNext/>
        <w:widowControl w:val="0"/>
        <w:numPr>
          <w:ilvl w:val="2"/>
          <w:numId w:val="4"/>
        </w:numPr>
        <w:spacing w:before="60" w:after="60" w:line="240" w:lineRule="auto"/>
        <w:outlineLvl w:val="1"/>
        <w:rPr>
          <w:rFonts w:ascii="Times New Roman" w:hAnsi="Times New Roman"/>
          <w:b/>
          <w:sz w:val="24"/>
          <w:szCs w:val="24"/>
        </w:rPr>
      </w:pPr>
      <w:r>
        <w:rPr>
          <w:rFonts w:ascii="Times New Roman" w:hAnsi="Times New Roman"/>
          <w:b/>
          <w:sz w:val="24"/>
          <w:szCs w:val="24"/>
        </w:rPr>
        <w:t xml:space="preserve">Справедливая стоимость производных финансовых инструментов определяется в следующем порядке: </w:t>
      </w:r>
    </w:p>
    <w:p w14:paraId="6B55C36B" w14:textId="77777777" w:rsidR="000C1E0E" w:rsidRDefault="000C1E0E" w:rsidP="000C1E0E">
      <w:pPr>
        <w:keepNext/>
        <w:widowControl w:val="0"/>
        <w:spacing w:before="60" w:after="60" w:line="240" w:lineRule="auto"/>
        <w:ind w:left="720"/>
        <w:outlineLvl w:val="1"/>
        <w:rPr>
          <w:rFonts w:ascii="Times New Roman" w:hAnsi="Times New Roman"/>
          <w:sz w:val="24"/>
          <w:szCs w:val="24"/>
        </w:rPr>
      </w:pPr>
      <w:r>
        <w:rPr>
          <w:rFonts w:ascii="Times New Roman" w:hAnsi="Times New Roman"/>
          <w:sz w:val="24"/>
          <w:szCs w:val="24"/>
        </w:rPr>
        <w:t>По производным финансовым инструментам, по которым рынок является активным, применяются данные, определенные на основных рынках для оцениваемого ПФИ, в порядке убывания приоритетности:</w:t>
      </w:r>
    </w:p>
    <w:p w14:paraId="5436C09A" w14:textId="77777777" w:rsidR="000C1E0E" w:rsidRDefault="000C1E0E" w:rsidP="000C1E0E">
      <w:pPr>
        <w:keepNext/>
        <w:widowControl w:val="0"/>
        <w:spacing w:before="60" w:after="60" w:line="240" w:lineRule="auto"/>
        <w:ind w:left="720"/>
        <w:outlineLvl w:val="1"/>
        <w:rPr>
          <w:rFonts w:ascii="Times New Roman" w:hAnsi="Times New Roman"/>
          <w:sz w:val="24"/>
          <w:szCs w:val="24"/>
        </w:rPr>
      </w:pPr>
      <w:r>
        <w:rPr>
          <w:rFonts w:ascii="Times New Roman" w:hAnsi="Times New Roman"/>
          <w:sz w:val="24"/>
          <w:szCs w:val="24"/>
        </w:rPr>
        <w:t>а). Последняя расчетная цена (теоретическая цена), определяемая организатором торгов, где Фондом был продан или куплен ПФИ;</w:t>
      </w:r>
    </w:p>
    <w:p w14:paraId="5387C0F7" w14:textId="77777777" w:rsidR="000C1E0E" w:rsidRDefault="000C1E0E" w:rsidP="000C1E0E">
      <w:pPr>
        <w:keepNext/>
        <w:widowControl w:val="0"/>
        <w:spacing w:before="60" w:after="60" w:line="240" w:lineRule="auto"/>
        <w:ind w:left="720"/>
        <w:outlineLvl w:val="1"/>
        <w:rPr>
          <w:rFonts w:ascii="Times New Roman" w:hAnsi="Times New Roman"/>
          <w:sz w:val="24"/>
          <w:szCs w:val="24"/>
        </w:rPr>
      </w:pPr>
      <w:r>
        <w:rPr>
          <w:rFonts w:ascii="Times New Roman" w:hAnsi="Times New Roman"/>
          <w:sz w:val="24"/>
          <w:szCs w:val="24"/>
          <w:lang w:val="en-US"/>
        </w:rPr>
        <w:t>b</w:t>
      </w:r>
      <w:r>
        <w:rPr>
          <w:rFonts w:ascii="Times New Roman" w:hAnsi="Times New Roman"/>
          <w:sz w:val="24"/>
          <w:szCs w:val="24"/>
        </w:rPr>
        <w:t>). Вариационная маржа, определяемая организатором торгов, где Фондом был продан или куплен ПФИ. Данный показатель используется для расчета изменения справедливой стоимости ПФИ с даты последней уплаты вариационной маржи;</w:t>
      </w:r>
    </w:p>
    <w:p w14:paraId="1A02A896" w14:textId="77777777" w:rsidR="000C1E0E" w:rsidRDefault="000C1E0E" w:rsidP="000C1E0E">
      <w:pPr>
        <w:keepNext/>
        <w:widowControl w:val="0"/>
        <w:spacing w:before="60" w:after="60" w:line="240" w:lineRule="auto"/>
        <w:ind w:left="720"/>
        <w:outlineLvl w:val="1"/>
        <w:rPr>
          <w:rFonts w:ascii="Times New Roman" w:hAnsi="Times New Roman"/>
          <w:sz w:val="24"/>
          <w:szCs w:val="24"/>
        </w:rPr>
      </w:pPr>
      <w:r>
        <w:rPr>
          <w:rFonts w:ascii="Times New Roman" w:hAnsi="Times New Roman"/>
          <w:sz w:val="24"/>
          <w:szCs w:val="24"/>
        </w:rPr>
        <w:t xml:space="preserve">с). Последняя цена закрытия, определяемая организатором торгов, где Фондом был куплен/продан оцениваемый ПФИ; </w:t>
      </w:r>
    </w:p>
    <w:p w14:paraId="730A48B2" w14:textId="77777777" w:rsidR="000C1E0E" w:rsidRDefault="000C1E0E" w:rsidP="000C1E0E">
      <w:pPr>
        <w:keepNext/>
        <w:widowControl w:val="0"/>
        <w:spacing w:before="60" w:after="60" w:line="240" w:lineRule="auto"/>
        <w:ind w:left="720"/>
        <w:outlineLvl w:val="1"/>
        <w:rPr>
          <w:rFonts w:ascii="Times New Roman" w:hAnsi="Times New Roman"/>
          <w:sz w:val="24"/>
          <w:szCs w:val="24"/>
        </w:rPr>
      </w:pPr>
      <w:r>
        <w:rPr>
          <w:rFonts w:ascii="Times New Roman" w:hAnsi="Times New Roman"/>
          <w:sz w:val="24"/>
          <w:szCs w:val="24"/>
          <w:lang w:val="en-US"/>
        </w:rPr>
        <w:t>d</w:t>
      </w:r>
      <w:r>
        <w:rPr>
          <w:rFonts w:ascii="Times New Roman" w:hAnsi="Times New Roman"/>
          <w:sz w:val="24"/>
          <w:szCs w:val="24"/>
        </w:rPr>
        <w:t xml:space="preserve">). Последняя средневзвешенная цена, определяемая организатором торгов, где Фондом был куплен/продан оцениваемый ПФИ. </w:t>
      </w:r>
    </w:p>
    <w:p w14:paraId="6C93DC6F" w14:textId="77777777" w:rsidR="000C1E0E" w:rsidRDefault="000C1E0E" w:rsidP="000C1E0E">
      <w:pPr>
        <w:keepNext/>
        <w:widowControl w:val="0"/>
        <w:spacing w:before="60" w:after="60" w:line="240" w:lineRule="auto"/>
        <w:ind w:left="708"/>
        <w:outlineLvl w:val="1"/>
        <w:rPr>
          <w:rFonts w:ascii="Times New Roman" w:hAnsi="Times New Roman"/>
          <w:sz w:val="24"/>
          <w:szCs w:val="24"/>
        </w:rPr>
      </w:pPr>
      <w:r>
        <w:rPr>
          <w:rFonts w:ascii="Times New Roman" w:hAnsi="Times New Roman"/>
          <w:sz w:val="24"/>
          <w:szCs w:val="24"/>
        </w:rPr>
        <w:t>Справедливой стоимостью ПФИ является его последняя расчетная цена (теоретическая цена), определяемая биржей, на которой у Фонда был заключен соответствующий контракт (является основным рынком).</w:t>
      </w:r>
    </w:p>
    <w:p w14:paraId="7F7C6D41" w14:textId="77777777" w:rsidR="000C1E0E" w:rsidRDefault="000C1E0E" w:rsidP="000C1E0E">
      <w:pPr>
        <w:keepNext/>
        <w:widowControl w:val="0"/>
        <w:numPr>
          <w:ilvl w:val="2"/>
          <w:numId w:val="4"/>
        </w:numPr>
        <w:spacing w:before="60" w:after="60" w:line="240" w:lineRule="auto"/>
        <w:outlineLvl w:val="1"/>
        <w:rPr>
          <w:rFonts w:ascii="Times New Roman" w:hAnsi="Times New Roman"/>
          <w:b/>
          <w:sz w:val="24"/>
          <w:szCs w:val="24"/>
        </w:rPr>
      </w:pPr>
      <w:r>
        <w:rPr>
          <w:rFonts w:ascii="Times New Roman" w:hAnsi="Times New Roman"/>
          <w:b/>
          <w:sz w:val="24"/>
          <w:szCs w:val="24"/>
        </w:rPr>
        <w:t>Справедливая стоимость депозитарной расписки определяется в следующем порядке:</w:t>
      </w:r>
    </w:p>
    <w:p w14:paraId="63785C35" w14:textId="77777777" w:rsidR="000C1E0E" w:rsidRDefault="000C1E0E" w:rsidP="000C1E0E">
      <w:pPr>
        <w:keepNext/>
        <w:widowControl w:val="0"/>
        <w:spacing w:before="60" w:after="60" w:line="240" w:lineRule="auto"/>
        <w:ind w:left="720"/>
        <w:outlineLvl w:val="1"/>
        <w:rPr>
          <w:rFonts w:ascii="Times New Roman" w:hAnsi="Times New Roman"/>
          <w:sz w:val="24"/>
          <w:szCs w:val="24"/>
        </w:rPr>
      </w:pPr>
      <w:r>
        <w:rPr>
          <w:rFonts w:ascii="Times New Roman" w:hAnsi="Times New Roman"/>
          <w:sz w:val="24"/>
          <w:szCs w:val="24"/>
        </w:rPr>
        <w:t xml:space="preserve">а). Котировка депозитарной расписки, если она торгуется на организованных торгах, с выбором цены, аналогичным представленным по ценным бумагам иностранных эмитентов. </w:t>
      </w:r>
    </w:p>
    <w:p w14:paraId="1B76585D" w14:textId="77777777" w:rsidR="000C1E0E" w:rsidRDefault="000C1E0E" w:rsidP="000C1E0E">
      <w:pPr>
        <w:keepNext/>
        <w:widowControl w:val="0"/>
        <w:spacing w:before="60" w:after="60" w:line="240" w:lineRule="auto"/>
        <w:ind w:left="720"/>
        <w:outlineLvl w:val="1"/>
        <w:rPr>
          <w:rFonts w:ascii="Times New Roman" w:hAnsi="Times New Roman"/>
          <w:sz w:val="24"/>
          <w:szCs w:val="24"/>
        </w:rPr>
      </w:pPr>
      <w:r>
        <w:rPr>
          <w:rFonts w:ascii="Times New Roman" w:hAnsi="Times New Roman"/>
          <w:sz w:val="24"/>
          <w:szCs w:val="24"/>
          <w:lang w:val="en-US"/>
        </w:rPr>
        <w:t>b</w:t>
      </w:r>
      <w:r>
        <w:rPr>
          <w:rFonts w:ascii="Times New Roman" w:hAnsi="Times New Roman"/>
          <w:sz w:val="24"/>
          <w:szCs w:val="24"/>
        </w:rPr>
        <w:t>). В случае отсутствия цены первого уровня, используется цена представляемой ценной бумаги (базового актива), определенная в соответствии с моделями оценки стоимости ценных бумаг, для которых определяется активный рынок в зависимости от эмитента ценной бумаги (российский/иностранный).</w:t>
      </w:r>
    </w:p>
    <w:p w14:paraId="2628ABF9" w14:textId="77777777" w:rsidR="000C1E0E" w:rsidRDefault="000C1E0E" w:rsidP="000C1E0E">
      <w:pPr>
        <w:keepNext/>
        <w:widowControl w:val="0"/>
        <w:numPr>
          <w:ilvl w:val="2"/>
          <w:numId w:val="4"/>
        </w:numPr>
        <w:spacing w:before="60" w:after="60" w:line="240" w:lineRule="auto"/>
        <w:outlineLvl w:val="1"/>
        <w:rPr>
          <w:rFonts w:ascii="Times New Roman" w:hAnsi="Times New Roman"/>
          <w:b/>
          <w:sz w:val="24"/>
          <w:szCs w:val="24"/>
        </w:rPr>
      </w:pPr>
      <w:r>
        <w:rPr>
          <w:rFonts w:ascii="Times New Roman" w:hAnsi="Times New Roman"/>
          <w:b/>
          <w:sz w:val="24"/>
          <w:szCs w:val="24"/>
        </w:rPr>
        <w:t>Справедливая стоимость ценной бумаги, являющейся дополнительным выпуском определяется в следующем порядке:</w:t>
      </w:r>
    </w:p>
    <w:p w14:paraId="015A2E2D" w14:textId="77777777" w:rsidR="000C1E0E" w:rsidRDefault="000C1E0E" w:rsidP="000C1E0E">
      <w:pPr>
        <w:keepNext/>
        <w:widowControl w:val="0"/>
        <w:spacing w:before="60" w:after="60" w:line="240" w:lineRule="auto"/>
        <w:ind w:left="708"/>
        <w:outlineLvl w:val="1"/>
        <w:rPr>
          <w:rFonts w:ascii="Times New Roman" w:hAnsi="Times New Roman"/>
          <w:sz w:val="24"/>
          <w:szCs w:val="24"/>
        </w:rPr>
      </w:pPr>
      <w:r>
        <w:rPr>
          <w:rFonts w:ascii="Times New Roman" w:hAnsi="Times New Roman"/>
          <w:sz w:val="24"/>
          <w:szCs w:val="24"/>
        </w:rPr>
        <w:t>Для оценки ценной бумаги, являющейся дополнительным выпуском, используется цена выпуска (аналогичного актива), по отношению к которому данный выпуск является дополнительным, определенная на дату определения СЧА в соответствии с моделями оценки стоимости ценных бумаг, для которых определен активный рынок.</w:t>
      </w:r>
      <w:r>
        <w:rPr>
          <w:rFonts w:ascii="Times New Roman" w:hAnsi="Times New Roman"/>
          <w:sz w:val="24"/>
          <w:szCs w:val="24"/>
        </w:rPr>
        <w:br/>
        <w:t>Справедливая стоимость определяется согласно этому порядку до возникновения справедливой стоимости ценной бумаги дополнительного выпуска</w:t>
      </w:r>
    </w:p>
    <w:p w14:paraId="7BAA2918" w14:textId="77777777" w:rsidR="000C1E0E" w:rsidRDefault="000C1E0E" w:rsidP="000C1E0E">
      <w:pPr>
        <w:keepNext/>
        <w:widowControl w:val="0"/>
        <w:numPr>
          <w:ilvl w:val="2"/>
          <w:numId w:val="4"/>
        </w:numPr>
        <w:spacing w:before="60" w:after="60" w:line="240" w:lineRule="auto"/>
        <w:outlineLvl w:val="1"/>
        <w:rPr>
          <w:rFonts w:ascii="Times New Roman" w:hAnsi="Times New Roman"/>
          <w:b/>
          <w:sz w:val="24"/>
          <w:szCs w:val="24"/>
        </w:rPr>
      </w:pPr>
      <w:r>
        <w:rPr>
          <w:rFonts w:ascii="Times New Roman" w:hAnsi="Times New Roman"/>
          <w:b/>
          <w:sz w:val="24"/>
          <w:szCs w:val="24"/>
        </w:rPr>
        <w:t>Определение справедливой стоимости ценных бумаг в результате конвертации в нее другой ценной бумаги (исходной ценной бумаги) производится следующим образом:</w:t>
      </w:r>
    </w:p>
    <w:p w14:paraId="49F77920" w14:textId="77777777" w:rsidR="000C1E0E" w:rsidRDefault="000C1E0E" w:rsidP="000C1E0E">
      <w:pPr>
        <w:widowControl w:val="0"/>
        <w:spacing w:before="60" w:after="60" w:line="240" w:lineRule="auto"/>
        <w:ind w:left="720"/>
        <w:outlineLvl w:val="1"/>
        <w:rPr>
          <w:rFonts w:ascii="Times New Roman" w:hAnsi="Times New Roman"/>
          <w:sz w:val="24"/>
          <w:szCs w:val="24"/>
        </w:rPr>
      </w:pPr>
      <w:r>
        <w:rPr>
          <w:rFonts w:ascii="Times New Roman" w:hAnsi="Times New Roman"/>
          <w:sz w:val="24"/>
          <w:szCs w:val="24"/>
        </w:rPr>
        <w:t>Для оценки ценной бумаги используется цена исходной ценной бумаги, определенная на дату определения СЧА в соответствии с моделями оценки стоимости ценных бумаг, для которых определен активный рынок, скорректированная с учетом коэффициента конвертации.</w:t>
      </w:r>
    </w:p>
    <w:p w14:paraId="35EEAC26" w14:textId="7E802CD0" w:rsidR="000C1E0E" w:rsidRDefault="000C1E0E" w:rsidP="000C1E0E">
      <w:pPr>
        <w:widowControl w:val="0"/>
        <w:spacing w:before="60" w:after="60" w:line="240" w:lineRule="auto"/>
        <w:ind w:left="720"/>
        <w:outlineLvl w:val="1"/>
        <w:rPr>
          <w:rFonts w:ascii="Times New Roman" w:hAnsi="Times New Roman"/>
          <w:sz w:val="24"/>
          <w:szCs w:val="24"/>
        </w:rPr>
      </w:pPr>
      <w:r>
        <w:rPr>
          <w:rFonts w:ascii="Times New Roman" w:hAnsi="Times New Roman"/>
          <w:sz w:val="24"/>
          <w:szCs w:val="24"/>
        </w:rPr>
        <w:t>Если невозможно определить в соответствии с моделями оценки стоим</w:t>
      </w:r>
      <w:r w:rsidR="00E06251">
        <w:rPr>
          <w:rFonts w:ascii="Times New Roman" w:hAnsi="Times New Roman"/>
          <w:sz w:val="24"/>
          <w:szCs w:val="24"/>
        </w:rPr>
        <w:t xml:space="preserve">ости ценных бумаг, для которых </w:t>
      </w:r>
      <w:r>
        <w:rPr>
          <w:rFonts w:ascii="Times New Roman" w:hAnsi="Times New Roman"/>
          <w:sz w:val="24"/>
          <w:szCs w:val="24"/>
        </w:rPr>
        <w:t>определен активный рынок, цену исходной ценной бумаги на дату определения СЧА, используется справедливая стоимость исходной ценной бумаги, определенная на дату конвертации, скорректированная с учетом коэффициента конвертации.</w:t>
      </w:r>
    </w:p>
    <w:p w14:paraId="204EFA62" w14:textId="77777777" w:rsidR="000C1E0E" w:rsidRDefault="000C1E0E" w:rsidP="000C1E0E">
      <w:pPr>
        <w:pStyle w:val="ae"/>
        <w:ind w:left="708"/>
        <w:rPr>
          <w:sz w:val="24"/>
        </w:rPr>
      </w:pPr>
      <w:r>
        <w:rPr>
          <w:sz w:val="24"/>
        </w:rPr>
        <w:t>Справедливая стоимость определяется согласно этому порядку на дату оценки. Со следующей даты справедливая стоимость определяется в общем порядке.</w:t>
      </w:r>
    </w:p>
    <w:p w14:paraId="10E84D82" w14:textId="0D2E4DFA" w:rsidR="000C1E0E" w:rsidRDefault="000C1E0E" w:rsidP="000C1E0E">
      <w:pPr>
        <w:widowControl w:val="0"/>
        <w:spacing w:before="60" w:after="60" w:line="240" w:lineRule="auto"/>
        <w:ind w:left="720"/>
        <w:outlineLvl w:val="1"/>
        <w:rPr>
          <w:rFonts w:ascii="Times New Roman" w:hAnsi="Times New Roman"/>
          <w:sz w:val="24"/>
          <w:szCs w:val="24"/>
        </w:rPr>
      </w:pPr>
      <w:r>
        <w:rPr>
          <w:rFonts w:ascii="Times New Roman" w:hAnsi="Times New Roman"/>
          <w:sz w:val="24"/>
          <w:szCs w:val="24"/>
        </w:rPr>
        <w:t>- Оценочной стоимостью акций с большей (меньшей) номинальной стоимостью, признанных в результате конвертации в них исходных акций, является оценочная стоимость конвертированных в них акций.</w:t>
      </w:r>
    </w:p>
    <w:p w14:paraId="3AF227C7" w14:textId="77777777" w:rsidR="000C1E0E" w:rsidRDefault="000C1E0E" w:rsidP="000C1E0E">
      <w:pPr>
        <w:widowControl w:val="0"/>
        <w:spacing w:before="60" w:after="60" w:line="240" w:lineRule="auto"/>
        <w:ind w:left="720"/>
        <w:outlineLvl w:val="1"/>
        <w:rPr>
          <w:rFonts w:ascii="Times New Roman" w:hAnsi="Times New Roman"/>
          <w:sz w:val="24"/>
          <w:szCs w:val="24"/>
        </w:rPr>
      </w:pPr>
      <w:r>
        <w:rPr>
          <w:rFonts w:ascii="Times New Roman" w:hAnsi="Times New Roman"/>
          <w:sz w:val="24"/>
          <w:szCs w:val="24"/>
        </w:rPr>
        <w:t>- Оценочной стоимостью акций той же категории (типа) с иными правами, признанных в результате конвертации в них исходных акций, является оценочная стоимость конвертированных акций.</w:t>
      </w:r>
    </w:p>
    <w:p w14:paraId="76ECD5EE" w14:textId="77777777" w:rsidR="000C1E0E" w:rsidRDefault="000C1E0E" w:rsidP="000C1E0E">
      <w:pPr>
        <w:widowControl w:val="0"/>
        <w:spacing w:before="60" w:after="60" w:line="240" w:lineRule="auto"/>
        <w:ind w:left="720"/>
        <w:outlineLvl w:val="1"/>
        <w:rPr>
          <w:rFonts w:ascii="Times New Roman" w:hAnsi="Times New Roman"/>
          <w:sz w:val="24"/>
          <w:szCs w:val="24"/>
        </w:rPr>
      </w:pPr>
      <w:r>
        <w:rPr>
          <w:rFonts w:ascii="Times New Roman" w:hAnsi="Times New Roman"/>
          <w:sz w:val="24"/>
          <w:szCs w:val="24"/>
        </w:rPr>
        <w:t>- Оценочной стоимостью акций, признанных в результате конвертации при дроблении исходных акций, является оценочная стоимость конвертированных акций, деленная на коэффициент дробления.</w:t>
      </w:r>
    </w:p>
    <w:p w14:paraId="76D80717" w14:textId="77777777" w:rsidR="000C1E0E" w:rsidRDefault="000C1E0E" w:rsidP="000C1E0E">
      <w:pPr>
        <w:widowControl w:val="0"/>
        <w:spacing w:before="60" w:after="60" w:line="240" w:lineRule="auto"/>
        <w:ind w:left="720"/>
        <w:outlineLvl w:val="1"/>
        <w:rPr>
          <w:rFonts w:ascii="Times New Roman" w:hAnsi="Times New Roman"/>
          <w:sz w:val="24"/>
          <w:szCs w:val="24"/>
        </w:rPr>
      </w:pPr>
      <w:r>
        <w:rPr>
          <w:rFonts w:ascii="Times New Roman" w:hAnsi="Times New Roman"/>
          <w:sz w:val="24"/>
          <w:szCs w:val="24"/>
        </w:rPr>
        <w:t>- Оценочной стоимостью акций, признанных в результате конвертации при консолидации исходных акций, является оценочная стоимость конвертированных акций, умноженная на коэффициент консолидации.</w:t>
      </w:r>
    </w:p>
    <w:p w14:paraId="5894F251" w14:textId="77777777" w:rsidR="000C1E0E" w:rsidRDefault="000C1E0E" w:rsidP="000C1E0E">
      <w:pPr>
        <w:widowControl w:val="0"/>
        <w:spacing w:before="60" w:after="60" w:line="240" w:lineRule="auto"/>
        <w:ind w:left="720"/>
        <w:outlineLvl w:val="1"/>
        <w:rPr>
          <w:rFonts w:ascii="Times New Roman" w:hAnsi="Times New Roman"/>
          <w:sz w:val="24"/>
          <w:szCs w:val="24"/>
        </w:rPr>
      </w:pPr>
      <w:r>
        <w:rPr>
          <w:rFonts w:ascii="Times New Roman" w:hAnsi="Times New Roman"/>
          <w:sz w:val="24"/>
          <w:szCs w:val="24"/>
        </w:rPr>
        <w:t>- Оценочной стоимостью акций или облигаций нового выпуска, признанных в результате конвертации в них конвертируемых исходных ценных бумаг, является оценочная стоимость конвертированных ценных бумаг, деленная на количество акций (облигаций), в которое конвертирована одна конвертируемая ценная бумага.</w:t>
      </w:r>
    </w:p>
    <w:p w14:paraId="6520FC18" w14:textId="77777777" w:rsidR="000C1E0E" w:rsidRDefault="000C1E0E" w:rsidP="000C1E0E">
      <w:pPr>
        <w:widowControl w:val="0"/>
        <w:spacing w:before="60" w:after="60" w:line="240" w:lineRule="auto"/>
        <w:ind w:left="720"/>
        <w:outlineLvl w:val="1"/>
        <w:rPr>
          <w:rFonts w:ascii="Times New Roman" w:hAnsi="Times New Roman"/>
          <w:sz w:val="24"/>
          <w:szCs w:val="24"/>
        </w:rPr>
      </w:pPr>
      <w:r>
        <w:rPr>
          <w:rFonts w:ascii="Times New Roman" w:hAnsi="Times New Roman"/>
          <w:sz w:val="24"/>
          <w:szCs w:val="24"/>
        </w:rPr>
        <w:t>- Оценочной стоимостью акций, признанных в результате конвертации в них исходных акций при реорганизации в форме слияния, является оценочная стоимость конвертированных ценных бумаг, умноженная на коэффициент конвертации.</w:t>
      </w:r>
    </w:p>
    <w:p w14:paraId="3D74096C" w14:textId="77777777" w:rsidR="000C1E0E" w:rsidRDefault="000C1E0E" w:rsidP="000C1E0E">
      <w:pPr>
        <w:widowControl w:val="0"/>
        <w:spacing w:before="60" w:after="60" w:line="240" w:lineRule="auto"/>
        <w:ind w:left="720"/>
        <w:outlineLvl w:val="1"/>
        <w:rPr>
          <w:rFonts w:ascii="Times New Roman" w:hAnsi="Times New Roman"/>
          <w:sz w:val="24"/>
          <w:szCs w:val="24"/>
        </w:rPr>
      </w:pPr>
      <w:r>
        <w:rPr>
          <w:rFonts w:ascii="Times New Roman" w:hAnsi="Times New Roman"/>
          <w:sz w:val="24"/>
          <w:szCs w:val="24"/>
        </w:rPr>
        <w:t>- Оценочной стоимостью акций вновь созданного в результате реорганизации в форме разделения или выделения акционерного общества, признанных в результате конвертации в них исходных акций, является оценочная стоимость конвертированных акций, деленная на коэффициент конвертации. В случае, если в результате разделения или выделения создается два или более акционерных общества, на коэффициент конвертации делится оценочная стоимость конвертированных акций, уменьшенная пропорционально доле имущества реорганизованного акционерного общества, переданного акционерному обществу, созданному в результате разделения или выделения.</w:t>
      </w:r>
    </w:p>
    <w:p w14:paraId="279A52DF" w14:textId="77777777" w:rsidR="000C1E0E" w:rsidRDefault="000C1E0E" w:rsidP="000C1E0E">
      <w:pPr>
        <w:widowControl w:val="0"/>
        <w:spacing w:before="60" w:after="60" w:line="240" w:lineRule="auto"/>
        <w:ind w:left="720"/>
        <w:outlineLvl w:val="1"/>
        <w:rPr>
          <w:rFonts w:ascii="Times New Roman" w:hAnsi="Times New Roman"/>
          <w:sz w:val="24"/>
          <w:szCs w:val="24"/>
        </w:rPr>
      </w:pPr>
      <w:r>
        <w:rPr>
          <w:rFonts w:ascii="Times New Roman" w:hAnsi="Times New Roman"/>
          <w:sz w:val="24"/>
          <w:szCs w:val="24"/>
        </w:rPr>
        <w:t>- Оценочная стоимость акций вновь созданного в результате реорганизации в форме выделения акционерного общества, признанных в результате их распределения среди акционеров реорганизованного акционерного общества, считается равной нулю.</w:t>
      </w:r>
    </w:p>
    <w:p w14:paraId="6669F84C" w14:textId="77777777" w:rsidR="000C1E0E" w:rsidRDefault="000C1E0E" w:rsidP="000C1E0E">
      <w:pPr>
        <w:widowControl w:val="0"/>
        <w:spacing w:before="60" w:after="60" w:line="240" w:lineRule="auto"/>
        <w:ind w:left="720"/>
        <w:outlineLvl w:val="1"/>
        <w:rPr>
          <w:rFonts w:ascii="Times New Roman" w:hAnsi="Times New Roman"/>
          <w:sz w:val="24"/>
          <w:szCs w:val="24"/>
        </w:rPr>
      </w:pPr>
      <w:r>
        <w:rPr>
          <w:rFonts w:ascii="Times New Roman" w:hAnsi="Times New Roman"/>
          <w:sz w:val="24"/>
          <w:szCs w:val="24"/>
        </w:rPr>
        <w:t>-Оценочной стоимостью облигаций нового выпуска, признанных в результате конвертации в них исходных облигаций при реорганизации эмитента таких облигаций, является оценочная стоимость конвертированных облигаций. Для определения справедливой стоимости может также использоваться отчет оценщика.</w:t>
      </w:r>
    </w:p>
    <w:p w14:paraId="0A6759CC" w14:textId="77777777" w:rsidR="000C1E0E" w:rsidRDefault="000C1E0E" w:rsidP="000C1E0E">
      <w:pPr>
        <w:keepNext/>
        <w:widowControl w:val="0"/>
        <w:numPr>
          <w:ilvl w:val="2"/>
          <w:numId w:val="4"/>
        </w:numPr>
        <w:spacing w:before="60" w:after="60" w:line="240" w:lineRule="auto"/>
        <w:outlineLvl w:val="1"/>
        <w:rPr>
          <w:rFonts w:ascii="Times New Roman" w:hAnsi="Times New Roman"/>
          <w:b/>
          <w:sz w:val="24"/>
          <w:szCs w:val="24"/>
        </w:rPr>
      </w:pPr>
      <w:r>
        <w:rPr>
          <w:rFonts w:ascii="Times New Roman" w:hAnsi="Times New Roman"/>
          <w:b/>
          <w:sz w:val="24"/>
          <w:szCs w:val="24"/>
        </w:rPr>
        <w:t>Справедливая стоимость ценной бумаги, приобретенной на размещении, определяется в следующем порядке:</w:t>
      </w:r>
    </w:p>
    <w:p w14:paraId="39ECA6F3" w14:textId="77777777" w:rsidR="000C1E0E" w:rsidRDefault="000C1E0E" w:rsidP="000C1E0E">
      <w:pPr>
        <w:widowControl w:val="0"/>
        <w:spacing w:before="60" w:after="60" w:line="240" w:lineRule="auto"/>
        <w:ind w:left="709"/>
        <w:outlineLvl w:val="1"/>
        <w:rPr>
          <w:rFonts w:ascii="Times New Roman" w:hAnsi="Times New Roman"/>
          <w:sz w:val="24"/>
          <w:szCs w:val="24"/>
        </w:rPr>
      </w:pPr>
      <w:r>
        <w:rPr>
          <w:rFonts w:ascii="Times New Roman" w:hAnsi="Times New Roman"/>
          <w:sz w:val="24"/>
          <w:szCs w:val="24"/>
        </w:rPr>
        <w:t>Справедливая стоимость ценной бумаги, приобретенной на размещении, определяется по цене размещения. С даты появления цен, позволяющих произвести оценку по данным активного основного рынка, справедливая стоимость определяется в общем порядке. При отсутствии указанных цен в течение 10 рабочих дней с даты фактического окончания размещения выпуска может применяться цена размещения, скорректированная пропорционально на изменение ключевой ставки Банка России за этот период. Начиная с 11 дня справедливая стоимость определяется в общем порядке.</w:t>
      </w:r>
    </w:p>
    <w:p w14:paraId="46CD88D3" w14:textId="77777777" w:rsidR="000C1E0E" w:rsidRDefault="000C1E0E" w:rsidP="000C1E0E">
      <w:pPr>
        <w:widowControl w:val="0"/>
        <w:numPr>
          <w:ilvl w:val="1"/>
          <w:numId w:val="4"/>
        </w:numPr>
        <w:spacing w:before="60" w:after="60" w:line="240" w:lineRule="auto"/>
        <w:outlineLvl w:val="1"/>
        <w:rPr>
          <w:rFonts w:ascii="Times New Roman" w:hAnsi="Times New Roman"/>
          <w:b/>
          <w:sz w:val="24"/>
          <w:szCs w:val="24"/>
        </w:rPr>
      </w:pPr>
      <w:r>
        <w:rPr>
          <w:rFonts w:ascii="Times New Roman" w:hAnsi="Times New Roman"/>
          <w:b/>
          <w:sz w:val="24"/>
          <w:szCs w:val="24"/>
        </w:rPr>
        <w:t>Справедливая стоимость задолженности по сделкам, заключенным на условиях Т+</w:t>
      </w:r>
    </w:p>
    <w:p w14:paraId="5606EA9B" w14:textId="77777777" w:rsidR="000C1E0E" w:rsidRDefault="000C1E0E" w:rsidP="000C1E0E">
      <w:pPr>
        <w:widowControl w:val="0"/>
        <w:numPr>
          <w:ilvl w:val="2"/>
          <w:numId w:val="4"/>
        </w:numPr>
        <w:spacing w:before="60" w:after="60" w:line="240" w:lineRule="auto"/>
        <w:outlineLvl w:val="1"/>
        <w:rPr>
          <w:rFonts w:ascii="Times New Roman" w:hAnsi="Times New Roman"/>
          <w:sz w:val="24"/>
          <w:szCs w:val="24"/>
        </w:rPr>
      </w:pPr>
      <w:r>
        <w:rPr>
          <w:rFonts w:ascii="Times New Roman" w:hAnsi="Times New Roman"/>
          <w:sz w:val="24"/>
          <w:szCs w:val="24"/>
        </w:rPr>
        <w:t>Справедливая стоимость задолженности по сделкам с ценными бумагами, заключенным на условиях Т+ определяется в размере разницы между справедливой стоимостью ценной бумаги, являющейся предметом сделки и суммой сделки в валюте сделки, приведенной к рублю по курсу, установленному настоящими Правилами определения СЧА для конвертации стоимостей, выраженных в одной валюте, в другую валюту.</w:t>
      </w:r>
    </w:p>
    <w:p w14:paraId="626321FC" w14:textId="77777777" w:rsidR="000C1E0E" w:rsidRDefault="000C1E0E" w:rsidP="000C1E0E">
      <w:pPr>
        <w:widowControl w:val="0"/>
        <w:spacing w:before="60" w:after="60" w:line="240" w:lineRule="auto"/>
        <w:ind w:left="720"/>
        <w:outlineLvl w:val="1"/>
        <w:rPr>
          <w:rFonts w:ascii="Times New Roman" w:hAnsi="Times New Roman"/>
          <w:sz w:val="24"/>
          <w:szCs w:val="24"/>
        </w:rPr>
      </w:pPr>
      <w:r>
        <w:rPr>
          <w:rFonts w:ascii="Times New Roman" w:hAnsi="Times New Roman"/>
          <w:sz w:val="24"/>
          <w:szCs w:val="24"/>
        </w:rPr>
        <w:t>В случае положительной разницы, сделка признается в составе активов (дебиторская задолженность) у покупателя/ в составе обязательств (кредиторская задолженность) у продавца, отрицательной разницы - в составе обязательств (кредиторская задолженность) у покупателя/в составе активов (дебиторская задолженность) у продавца.</w:t>
      </w:r>
    </w:p>
    <w:p w14:paraId="101BAD0C" w14:textId="77777777" w:rsidR="000C1E0E" w:rsidRDefault="000C1E0E" w:rsidP="000C1E0E">
      <w:pPr>
        <w:widowControl w:val="0"/>
        <w:spacing w:before="60" w:after="60" w:line="240" w:lineRule="auto"/>
        <w:ind w:left="720"/>
        <w:outlineLvl w:val="1"/>
        <w:rPr>
          <w:rFonts w:ascii="Times New Roman" w:hAnsi="Times New Roman"/>
          <w:sz w:val="24"/>
          <w:szCs w:val="24"/>
        </w:rPr>
      </w:pPr>
      <w:r>
        <w:rPr>
          <w:rFonts w:ascii="Times New Roman" w:hAnsi="Times New Roman"/>
          <w:sz w:val="24"/>
          <w:szCs w:val="24"/>
        </w:rPr>
        <w:t>При определении справедливой стоимости задолженности по сделкам с облигациями, заключенным на условиях Т+, справедливая стоимость облигаций (пакета облигаций) определяется как произведение цены облигации, определенной в соответствии с настоящими Правилами, увеличенной на размер купона, определенного на дату расчета по сделке в соответствии с условиями сделки или правилами организатора торгов, и количества ценных бумаг, являющихся предметом сделки.</w:t>
      </w:r>
    </w:p>
    <w:p w14:paraId="10CA5970" w14:textId="77777777" w:rsidR="000C1E0E" w:rsidRDefault="000C1E0E" w:rsidP="000C1E0E">
      <w:pPr>
        <w:widowControl w:val="0"/>
        <w:spacing w:before="60" w:after="60" w:line="240" w:lineRule="auto"/>
        <w:ind w:left="720"/>
        <w:outlineLvl w:val="1"/>
        <w:rPr>
          <w:rFonts w:ascii="Times New Roman" w:hAnsi="Times New Roman"/>
          <w:sz w:val="24"/>
          <w:szCs w:val="24"/>
        </w:rPr>
      </w:pPr>
      <w:r>
        <w:rPr>
          <w:rFonts w:ascii="Times New Roman" w:hAnsi="Times New Roman"/>
          <w:sz w:val="24"/>
          <w:szCs w:val="24"/>
        </w:rPr>
        <w:t>Справедливая стоимость дебиторской задолженность, возникшей в результате совершения сделок с ценными бумагами, заключенным на условиях Т+, с даты наступления срока ее полного погашения, установленного условиями сделки, определяется в соответствии с порядком корректировки справедливой стоимости при возникновении события, ведущего к обесценению, в соответствии с п.3.13 настоящих Правил.</w:t>
      </w:r>
    </w:p>
    <w:p w14:paraId="3DD5DA61" w14:textId="77777777" w:rsidR="000C1E0E" w:rsidRDefault="000C1E0E" w:rsidP="000C1E0E">
      <w:pPr>
        <w:widowControl w:val="0"/>
        <w:numPr>
          <w:ilvl w:val="2"/>
          <w:numId w:val="4"/>
        </w:numPr>
        <w:spacing w:before="60" w:after="60" w:line="240" w:lineRule="auto"/>
        <w:outlineLvl w:val="1"/>
        <w:rPr>
          <w:rFonts w:ascii="Times New Roman" w:hAnsi="Times New Roman"/>
          <w:sz w:val="24"/>
          <w:szCs w:val="24"/>
        </w:rPr>
      </w:pPr>
      <w:r>
        <w:rPr>
          <w:rFonts w:ascii="Times New Roman" w:hAnsi="Times New Roman"/>
          <w:sz w:val="24"/>
          <w:szCs w:val="24"/>
        </w:rPr>
        <w:t xml:space="preserve">Справедливая стоимость задолженности по сделкам с валютой, заключенным на условиях Т+, определяется в размере разницы между текущей справедливой стоимостью в рублях по курсу, установленному настоящими Правилами определения СЧА для конвертации стоимостей, выраженных в одной валюте, в другую валюту и стоимостью валюты в рублях, зафиксированной в договоре на дату исполнения сделки.    </w:t>
      </w:r>
    </w:p>
    <w:p w14:paraId="50279A06" w14:textId="77777777" w:rsidR="000C1E0E" w:rsidRDefault="000C1E0E" w:rsidP="000C1E0E">
      <w:pPr>
        <w:widowControl w:val="0"/>
        <w:spacing w:before="60" w:after="60" w:line="240" w:lineRule="auto"/>
        <w:ind w:left="720"/>
        <w:outlineLvl w:val="1"/>
        <w:rPr>
          <w:rFonts w:ascii="Times New Roman" w:hAnsi="Times New Roman"/>
          <w:sz w:val="24"/>
          <w:szCs w:val="24"/>
        </w:rPr>
      </w:pPr>
      <w:r>
        <w:rPr>
          <w:rFonts w:ascii="Times New Roman" w:hAnsi="Times New Roman"/>
          <w:sz w:val="24"/>
          <w:szCs w:val="24"/>
        </w:rPr>
        <w:t xml:space="preserve">В случае положительной разницы, сделка признается в составе активов (дебиторская задолженность) у покупателя/ в составе обязательств (кредиторская задолженность) у продавца, отрицательной разницы - в составе обязательств (кредиторская задолженность) у покупателя /в составе активов (дебиторская задолженность) у продавца. </w:t>
      </w:r>
    </w:p>
    <w:p w14:paraId="1A4CA968" w14:textId="77777777" w:rsidR="000C1E0E" w:rsidRDefault="000C1E0E" w:rsidP="000C1E0E">
      <w:pPr>
        <w:widowControl w:val="0"/>
        <w:numPr>
          <w:ilvl w:val="1"/>
          <w:numId w:val="4"/>
        </w:numPr>
        <w:spacing w:before="60" w:after="60" w:line="240" w:lineRule="auto"/>
        <w:outlineLvl w:val="1"/>
        <w:rPr>
          <w:rFonts w:ascii="Times New Roman" w:hAnsi="Times New Roman"/>
          <w:b/>
          <w:sz w:val="24"/>
          <w:szCs w:val="24"/>
        </w:rPr>
      </w:pPr>
      <w:r>
        <w:rPr>
          <w:rFonts w:ascii="Times New Roman" w:hAnsi="Times New Roman"/>
          <w:b/>
          <w:sz w:val="24"/>
          <w:szCs w:val="24"/>
        </w:rPr>
        <w:t>Порядок определения справедливой стоимости требований из кредитных договоров и договоров займа.</w:t>
      </w:r>
    </w:p>
    <w:p w14:paraId="1925493A" w14:textId="51F8B64D" w:rsidR="00D411B6" w:rsidRPr="00E06251" w:rsidRDefault="00D411B6" w:rsidP="00D411B6">
      <w:pPr>
        <w:widowControl w:val="0"/>
        <w:numPr>
          <w:ilvl w:val="2"/>
          <w:numId w:val="4"/>
        </w:numPr>
        <w:spacing w:before="60" w:after="60" w:line="240" w:lineRule="auto"/>
        <w:outlineLvl w:val="1"/>
        <w:rPr>
          <w:rFonts w:ascii="Times New Roman" w:hAnsi="Times New Roman"/>
          <w:sz w:val="24"/>
          <w:szCs w:val="24"/>
        </w:rPr>
      </w:pPr>
      <w:r w:rsidRPr="00D411B6">
        <w:rPr>
          <w:sz w:val="20"/>
        </w:rPr>
        <w:t xml:space="preserve"> </w:t>
      </w:r>
      <w:r w:rsidRPr="00E06251">
        <w:rPr>
          <w:sz w:val="24"/>
          <w:szCs w:val="24"/>
        </w:rPr>
        <w:t>Если договор не содержит конкретной даты погашения, такая дата определяется на основании экспертного (мотивированного) суждения управляющей компании, которое должно содержать обоснованный вывод о сроке возврата ссуды, основанный в том числе на собственной практике работы с аналогичными заемщиками и (или) общей рыночной практике погашения аналогичных ссуд и иных данных.</w:t>
      </w:r>
    </w:p>
    <w:p w14:paraId="0A0BAA5D" w14:textId="0477FA41" w:rsidR="000C1E0E" w:rsidRDefault="00D411B6" w:rsidP="00D411B6">
      <w:pPr>
        <w:widowControl w:val="0"/>
        <w:spacing w:before="60" w:after="60" w:line="240" w:lineRule="auto"/>
        <w:ind w:left="720"/>
        <w:outlineLvl w:val="1"/>
        <w:rPr>
          <w:rFonts w:ascii="Times New Roman" w:hAnsi="Times New Roman"/>
          <w:sz w:val="24"/>
          <w:szCs w:val="24"/>
        </w:rPr>
      </w:pPr>
      <w:r>
        <w:rPr>
          <w:rFonts w:ascii="Times New Roman" w:hAnsi="Times New Roman"/>
          <w:sz w:val="24"/>
          <w:szCs w:val="24"/>
        </w:rPr>
        <w:t>С</w:t>
      </w:r>
      <w:r w:rsidR="000C1E0E">
        <w:rPr>
          <w:rFonts w:ascii="Times New Roman" w:hAnsi="Times New Roman"/>
          <w:sz w:val="24"/>
          <w:szCs w:val="24"/>
        </w:rPr>
        <w:t>праведливая стоимость активов в течение максимального срока, предусмотренного договором, определяется:</w:t>
      </w:r>
    </w:p>
    <w:p w14:paraId="7C93725F" w14:textId="77777777" w:rsidR="000C1E0E" w:rsidRDefault="000C1E0E" w:rsidP="000C1E0E">
      <w:pPr>
        <w:widowControl w:val="0"/>
        <w:spacing w:before="60" w:after="60" w:line="240" w:lineRule="auto"/>
        <w:ind w:left="720"/>
        <w:outlineLvl w:val="1"/>
        <w:rPr>
          <w:rFonts w:ascii="Times New Roman" w:hAnsi="Times New Roman"/>
          <w:sz w:val="24"/>
          <w:szCs w:val="24"/>
        </w:rPr>
      </w:pPr>
      <w:r>
        <w:rPr>
          <w:rFonts w:ascii="Times New Roman" w:hAnsi="Times New Roman"/>
          <w:sz w:val="24"/>
          <w:szCs w:val="24"/>
        </w:rPr>
        <w:t>- в сумме остатка основного долга, увеличенной на сумму процентов, рассчитанных на дату определения СЧА по ставке, предусмотренной договором, если ссуда выдана на срок «до востребования»;</w:t>
      </w:r>
    </w:p>
    <w:p w14:paraId="3F979661" w14:textId="77777777" w:rsidR="000C1E0E" w:rsidRDefault="000C1E0E" w:rsidP="000C1E0E">
      <w:pPr>
        <w:widowControl w:val="0"/>
        <w:spacing w:before="60" w:after="60" w:line="240" w:lineRule="auto"/>
        <w:ind w:left="720"/>
        <w:outlineLvl w:val="1"/>
        <w:rPr>
          <w:rFonts w:ascii="Times New Roman" w:hAnsi="Times New Roman"/>
          <w:sz w:val="24"/>
          <w:szCs w:val="24"/>
        </w:rPr>
      </w:pPr>
      <w:r>
        <w:rPr>
          <w:rFonts w:ascii="Times New Roman" w:hAnsi="Times New Roman"/>
          <w:sz w:val="24"/>
          <w:szCs w:val="24"/>
        </w:rPr>
        <w:t xml:space="preserve">- в сумме остатка основного долга, увеличенной на сумму процентов, рассчитанных на дату определения СЧА по ставке, предусмотренной договором для максимального срока возврата ссуды, если ссуда выдана на срок не более одного года и ставка по договору соответствует рыночной.  </w:t>
      </w:r>
    </w:p>
    <w:p w14:paraId="47914143" w14:textId="77777777" w:rsidR="000C1E0E" w:rsidRDefault="000C1E0E" w:rsidP="000C1E0E">
      <w:pPr>
        <w:widowControl w:val="0"/>
        <w:numPr>
          <w:ilvl w:val="2"/>
          <w:numId w:val="4"/>
        </w:numPr>
        <w:spacing w:before="60" w:after="60" w:line="240" w:lineRule="auto"/>
        <w:outlineLvl w:val="1"/>
        <w:rPr>
          <w:rFonts w:ascii="Times New Roman" w:hAnsi="Times New Roman"/>
          <w:sz w:val="24"/>
          <w:szCs w:val="24"/>
        </w:rPr>
      </w:pPr>
      <w:r>
        <w:rPr>
          <w:rFonts w:ascii="Times New Roman" w:hAnsi="Times New Roman"/>
          <w:sz w:val="24"/>
          <w:szCs w:val="24"/>
        </w:rPr>
        <w:t>В случае внесения изменения в условия определения срока договора максимальный срок определяется в соответствии с изменённым сроком кредита (займа), действующим на дату определения СЧА, причем накопление срока кредита (займа) не происходит.</w:t>
      </w:r>
    </w:p>
    <w:p w14:paraId="47EBF4DD" w14:textId="77777777" w:rsidR="000C1E0E" w:rsidRDefault="000C1E0E" w:rsidP="000C1E0E">
      <w:pPr>
        <w:widowControl w:val="0"/>
        <w:numPr>
          <w:ilvl w:val="1"/>
          <w:numId w:val="4"/>
        </w:numPr>
        <w:spacing w:before="60" w:after="60" w:line="240" w:lineRule="auto"/>
        <w:outlineLvl w:val="1"/>
        <w:rPr>
          <w:rFonts w:ascii="Times New Roman" w:hAnsi="Times New Roman"/>
          <w:b/>
          <w:sz w:val="24"/>
          <w:szCs w:val="24"/>
        </w:rPr>
      </w:pPr>
      <w:r>
        <w:rPr>
          <w:rFonts w:ascii="Times New Roman" w:hAnsi="Times New Roman"/>
          <w:b/>
          <w:sz w:val="24"/>
          <w:szCs w:val="24"/>
        </w:rPr>
        <w:t>Порядок корректировки справедливой стоимости активов с учетом кредитного качества контрагента.</w:t>
      </w:r>
    </w:p>
    <w:p w14:paraId="421D8E30" w14:textId="77777777" w:rsidR="000C1E0E" w:rsidRDefault="000C1E0E" w:rsidP="000C1E0E">
      <w:pPr>
        <w:ind w:left="709"/>
        <w:rPr>
          <w:rFonts w:ascii="Times New Roman" w:hAnsi="Times New Roman"/>
          <w:sz w:val="24"/>
          <w:szCs w:val="24"/>
        </w:rPr>
      </w:pPr>
      <w:r>
        <w:rPr>
          <w:rFonts w:ascii="Times New Roman" w:hAnsi="Times New Roman"/>
          <w:sz w:val="24"/>
          <w:szCs w:val="24"/>
        </w:rPr>
        <w:t xml:space="preserve">При возникновении события, ведущего к обесценению, справедливая стоимость денежных средств на счетах и во вкладах, справедливая стоимость дебиторской задолженности, в том числе по займам, определяется в соответствии с методом корректировки справедливой стоимости. </w:t>
      </w:r>
    </w:p>
    <w:p w14:paraId="02E4A15B" w14:textId="77777777" w:rsidR="000C1E0E" w:rsidRDefault="000C1E0E" w:rsidP="000C1E0E">
      <w:pPr>
        <w:ind w:left="709"/>
        <w:rPr>
          <w:rFonts w:ascii="Times New Roman" w:hAnsi="Times New Roman"/>
          <w:sz w:val="24"/>
          <w:szCs w:val="24"/>
        </w:rPr>
      </w:pPr>
      <w:r>
        <w:rPr>
          <w:rFonts w:ascii="Times New Roman" w:hAnsi="Times New Roman"/>
          <w:sz w:val="24"/>
          <w:szCs w:val="24"/>
        </w:rPr>
        <w:t xml:space="preserve">Тестирование всего портфеля на обесценение проводится не реже, чем на каждую отчетную дату, установленную нормативными актами Банка России для ПИФ. </w:t>
      </w:r>
    </w:p>
    <w:p w14:paraId="180ED257" w14:textId="77777777" w:rsidR="000C1E0E" w:rsidRDefault="000C1E0E" w:rsidP="000C1E0E">
      <w:pPr>
        <w:ind w:left="709"/>
        <w:rPr>
          <w:rFonts w:ascii="Times New Roman" w:hAnsi="Times New Roman"/>
          <w:sz w:val="24"/>
          <w:szCs w:val="24"/>
        </w:rPr>
      </w:pPr>
      <w:r>
        <w:rPr>
          <w:rFonts w:ascii="Times New Roman" w:hAnsi="Times New Roman"/>
          <w:sz w:val="24"/>
          <w:szCs w:val="24"/>
        </w:rPr>
        <w:t>Тестируемые активы подвергаются обесценению, если имеется одно или несколько событий, которые могут оказать негативное влияние на ожидаемые будущие денежные потоки по ним (признаки обесценения).</w:t>
      </w:r>
    </w:p>
    <w:p w14:paraId="0BA80284" w14:textId="77777777" w:rsidR="000C1E0E" w:rsidRDefault="000C1E0E" w:rsidP="000C1E0E">
      <w:pPr>
        <w:widowControl w:val="0"/>
        <w:numPr>
          <w:ilvl w:val="2"/>
          <w:numId w:val="4"/>
        </w:numPr>
        <w:spacing w:before="60" w:after="60" w:line="240" w:lineRule="auto"/>
        <w:outlineLvl w:val="1"/>
        <w:rPr>
          <w:rFonts w:ascii="Times New Roman" w:hAnsi="Times New Roman"/>
          <w:sz w:val="24"/>
          <w:szCs w:val="24"/>
        </w:rPr>
      </w:pPr>
      <w:r>
        <w:rPr>
          <w:rFonts w:ascii="Times New Roman" w:hAnsi="Times New Roman"/>
          <w:sz w:val="24"/>
          <w:szCs w:val="24"/>
        </w:rPr>
        <w:t xml:space="preserve">События, ведущие к обесценению: </w:t>
      </w:r>
    </w:p>
    <w:p w14:paraId="47754131" w14:textId="77777777" w:rsidR="000C1E0E" w:rsidRDefault="000C1E0E" w:rsidP="000C1E0E">
      <w:pPr>
        <w:pStyle w:val="afc"/>
        <w:numPr>
          <w:ilvl w:val="0"/>
          <w:numId w:val="7"/>
        </w:numPr>
        <w:tabs>
          <w:tab w:val="num" w:pos="2880"/>
        </w:tabs>
        <w:spacing w:after="0" w:line="240" w:lineRule="auto"/>
        <w:jc w:val="both"/>
        <w:rPr>
          <w:rFonts w:ascii="Times New Roman" w:hAnsi="Times New Roman"/>
          <w:sz w:val="24"/>
          <w:szCs w:val="24"/>
        </w:rPr>
      </w:pPr>
      <w:r>
        <w:rPr>
          <w:rFonts w:ascii="Times New Roman" w:hAnsi="Times New Roman"/>
          <w:sz w:val="24"/>
          <w:szCs w:val="24"/>
        </w:rPr>
        <w:t>В отношении юридических лиц:</w:t>
      </w:r>
    </w:p>
    <w:p w14:paraId="7852DA53" w14:textId="77777777" w:rsidR="000C1E0E" w:rsidRDefault="000C1E0E" w:rsidP="000C1E0E">
      <w:pPr>
        <w:keepNext/>
        <w:widowControl w:val="0"/>
        <w:spacing w:before="60" w:after="60" w:line="240" w:lineRule="auto"/>
        <w:ind w:left="720"/>
        <w:outlineLvl w:val="1"/>
        <w:rPr>
          <w:rFonts w:ascii="Times New Roman" w:hAnsi="Times New Roman"/>
          <w:sz w:val="24"/>
          <w:szCs w:val="24"/>
        </w:rPr>
      </w:pPr>
      <w:r>
        <w:rPr>
          <w:rFonts w:ascii="Times New Roman" w:hAnsi="Times New Roman"/>
          <w:sz w:val="24"/>
          <w:szCs w:val="24"/>
        </w:rPr>
        <w:t>- ухудшение финансового положения контрагента (в т.ч. заемщика, кредитной организации, брокера), отразившиеся в доступной финансовой отчетности, а именно снижение собственного капитала более чем на 25% по сравнению с максимальной величиной за последние 12 месяцев;</w:t>
      </w:r>
    </w:p>
    <w:p w14:paraId="1D8EA714" w14:textId="77777777" w:rsidR="000C1E0E" w:rsidRDefault="000C1E0E" w:rsidP="000C1E0E">
      <w:pPr>
        <w:keepNext/>
        <w:widowControl w:val="0"/>
        <w:spacing w:before="60" w:after="60" w:line="240" w:lineRule="auto"/>
        <w:ind w:left="720"/>
        <w:outlineLvl w:val="1"/>
        <w:rPr>
          <w:rFonts w:ascii="Times New Roman" w:hAnsi="Times New Roman"/>
          <w:sz w:val="24"/>
          <w:szCs w:val="24"/>
        </w:rPr>
      </w:pPr>
      <w:r>
        <w:rPr>
          <w:rFonts w:ascii="Times New Roman" w:hAnsi="Times New Roman"/>
          <w:sz w:val="24"/>
          <w:szCs w:val="24"/>
        </w:rPr>
        <w:t xml:space="preserve">- нарушение контрагентом/эмитентом условий исполнения обязательств или выплаты процентных доходов по активу, составляющему активы Фонда, а также любого иного его обязательства перед третьими лицами, в </w:t>
      </w:r>
      <w:r>
        <w:rPr>
          <w:rFonts w:ascii="Times New Roman" w:hAnsi="Times New Roman"/>
          <w:sz w:val="24"/>
          <w:szCs w:val="24"/>
        </w:rPr>
        <w:br/>
        <w:t>случае если данная информация прямо или косвенно наблюдаема участником рынка;</w:t>
      </w:r>
    </w:p>
    <w:p w14:paraId="04AC6696" w14:textId="77777777" w:rsidR="000C1E0E" w:rsidRDefault="000C1E0E" w:rsidP="000C1E0E">
      <w:pPr>
        <w:keepNext/>
        <w:widowControl w:val="0"/>
        <w:spacing w:before="60" w:after="60" w:line="240" w:lineRule="auto"/>
        <w:ind w:left="720"/>
        <w:outlineLvl w:val="1"/>
        <w:rPr>
          <w:rFonts w:ascii="Times New Roman" w:hAnsi="Times New Roman"/>
          <w:sz w:val="24"/>
          <w:szCs w:val="24"/>
        </w:rPr>
      </w:pPr>
      <w:r>
        <w:rPr>
          <w:rFonts w:ascii="Times New Roman" w:hAnsi="Times New Roman"/>
          <w:sz w:val="24"/>
          <w:szCs w:val="24"/>
        </w:rPr>
        <w:t>- официальное опубликование решения о признании контрагента/эмитента банкротом;</w:t>
      </w:r>
    </w:p>
    <w:p w14:paraId="64E8446F" w14:textId="61EFAFD7" w:rsidR="000C1E0E" w:rsidRDefault="000C1E0E" w:rsidP="000C1E0E">
      <w:pPr>
        <w:keepNext/>
        <w:widowControl w:val="0"/>
        <w:spacing w:before="60" w:after="60" w:line="240" w:lineRule="auto"/>
        <w:ind w:left="720"/>
        <w:outlineLvl w:val="1"/>
        <w:rPr>
          <w:rFonts w:ascii="Times New Roman" w:hAnsi="Times New Roman"/>
          <w:sz w:val="24"/>
          <w:szCs w:val="24"/>
        </w:rPr>
      </w:pPr>
      <w:r>
        <w:rPr>
          <w:rFonts w:ascii="Times New Roman" w:hAnsi="Times New Roman"/>
          <w:sz w:val="24"/>
          <w:szCs w:val="24"/>
        </w:rPr>
        <w:t>- официальное опубликование решения о начале применения к контрагенту/эмитенту процедур банкротства – со дня опубликования сообщения до даты, предшествующей дате опубликования сообщения об окончании применения процедур банкротства;</w:t>
      </w:r>
    </w:p>
    <w:p w14:paraId="3D963C27" w14:textId="77777777" w:rsidR="000C1E0E" w:rsidRDefault="000C1E0E" w:rsidP="000C1E0E">
      <w:pPr>
        <w:keepNext/>
        <w:widowControl w:val="0"/>
        <w:spacing w:before="60" w:after="60" w:line="240" w:lineRule="auto"/>
        <w:ind w:left="720"/>
        <w:outlineLvl w:val="1"/>
        <w:rPr>
          <w:rFonts w:ascii="Times New Roman" w:hAnsi="Times New Roman"/>
          <w:sz w:val="24"/>
          <w:szCs w:val="24"/>
        </w:rPr>
      </w:pPr>
      <w:r>
        <w:rPr>
          <w:rFonts w:ascii="Times New Roman" w:hAnsi="Times New Roman"/>
          <w:sz w:val="24"/>
          <w:szCs w:val="24"/>
        </w:rPr>
        <w:t>- существенное (на две ступени и более) снижение кредитного рейтинга контрагента/ эмитента (при наличии) либо отзыв рейтинга;</w:t>
      </w:r>
    </w:p>
    <w:p w14:paraId="478E783D" w14:textId="77777777" w:rsidR="000C1E0E" w:rsidRDefault="000C1E0E" w:rsidP="000C1E0E">
      <w:pPr>
        <w:keepNext/>
        <w:widowControl w:val="0"/>
        <w:spacing w:before="60" w:after="60" w:line="240" w:lineRule="auto"/>
        <w:ind w:left="720"/>
        <w:outlineLvl w:val="1"/>
        <w:rPr>
          <w:rFonts w:ascii="Times New Roman" w:hAnsi="Times New Roman"/>
          <w:sz w:val="24"/>
          <w:szCs w:val="24"/>
        </w:rPr>
      </w:pPr>
      <w:r>
        <w:rPr>
          <w:rFonts w:ascii="Times New Roman" w:hAnsi="Times New Roman"/>
          <w:sz w:val="24"/>
          <w:szCs w:val="24"/>
        </w:rPr>
        <w:t>- отзыв (аннулирование) у контрагента лицензии на осуществление основного вида деятельности.</w:t>
      </w:r>
    </w:p>
    <w:p w14:paraId="3FA78E5B" w14:textId="77777777" w:rsidR="000C1E0E" w:rsidRDefault="000C1E0E" w:rsidP="000C1E0E">
      <w:pPr>
        <w:pStyle w:val="afc"/>
        <w:numPr>
          <w:ilvl w:val="0"/>
          <w:numId w:val="7"/>
        </w:numPr>
        <w:tabs>
          <w:tab w:val="num" w:pos="2880"/>
        </w:tabs>
        <w:spacing w:after="0" w:line="240" w:lineRule="auto"/>
        <w:jc w:val="both"/>
        <w:rPr>
          <w:rFonts w:ascii="Times New Roman" w:hAnsi="Times New Roman"/>
          <w:sz w:val="24"/>
          <w:szCs w:val="24"/>
          <w:u w:val="single"/>
        </w:rPr>
      </w:pPr>
      <w:r>
        <w:rPr>
          <w:rFonts w:ascii="Times New Roman" w:hAnsi="Times New Roman"/>
          <w:sz w:val="24"/>
          <w:szCs w:val="24"/>
        </w:rPr>
        <w:t>В отношении физических лиц</w:t>
      </w:r>
    </w:p>
    <w:p w14:paraId="1A0D1CDE" w14:textId="77777777" w:rsidR="000C1E0E" w:rsidRDefault="000C1E0E" w:rsidP="000C1E0E">
      <w:pPr>
        <w:keepNext/>
        <w:widowControl w:val="0"/>
        <w:spacing w:before="60" w:after="60" w:line="240" w:lineRule="auto"/>
        <w:ind w:left="720"/>
        <w:outlineLvl w:val="1"/>
        <w:rPr>
          <w:rFonts w:ascii="Times New Roman" w:hAnsi="Times New Roman"/>
          <w:sz w:val="24"/>
          <w:szCs w:val="24"/>
        </w:rPr>
      </w:pPr>
      <w:r>
        <w:rPr>
          <w:rFonts w:ascii="Times New Roman" w:hAnsi="Times New Roman"/>
          <w:sz w:val="24"/>
          <w:szCs w:val="24"/>
        </w:rPr>
        <w:t>- официальное опубликование решения о признании лица банкротом;</w:t>
      </w:r>
    </w:p>
    <w:p w14:paraId="04192208" w14:textId="77777777" w:rsidR="000C1E0E" w:rsidRDefault="000C1E0E" w:rsidP="000C1E0E">
      <w:pPr>
        <w:keepNext/>
        <w:widowControl w:val="0"/>
        <w:spacing w:before="60" w:after="60" w:line="240" w:lineRule="auto"/>
        <w:ind w:left="720"/>
        <w:outlineLvl w:val="1"/>
        <w:rPr>
          <w:rFonts w:ascii="Times New Roman" w:hAnsi="Times New Roman"/>
          <w:sz w:val="24"/>
          <w:szCs w:val="24"/>
        </w:rPr>
      </w:pPr>
      <w:r>
        <w:rPr>
          <w:rFonts w:ascii="Times New Roman" w:hAnsi="Times New Roman"/>
          <w:sz w:val="24"/>
          <w:szCs w:val="24"/>
        </w:rPr>
        <w:t>- официальное опубликование решения о начале применения к лицу процедур банкротства со дня опубликования сообщения до даты, предшествующей дате опубликования сообщения об окончании применения процедур банкротства.</w:t>
      </w:r>
    </w:p>
    <w:p w14:paraId="533B34EB" w14:textId="77777777" w:rsidR="000C1E0E" w:rsidRDefault="000C1E0E" w:rsidP="000C1E0E">
      <w:pPr>
        <w:keepNext/>
        <w:widowControl w:val="0"/>
        <w:spacing w:before="60" w:after="60" w:line="240" w:lineRule="auto"/>
        <w:ind w:left="720"/>
        <w:outlineLvl w:val="1"/>
        <w:rPr>
          <w:rFonts w:ascii="Times New Roman" w:hAnsi="Times New Roman"/>
          <w:sz w:val="24"/>
          <w:szCs w:val="24"/>
        </w:rPr>
      </w:pPr>
      <w:r>
        <w:rPr>
          <w:rFonts w:ascii="Times New Roman" w:hAnsi="Times New Roman"/>
          <w:sz w:val="24"/>
          <w:szCs w:val="24"/>
        </w:rPr>
        <w:t>В случае, если при проведении мониторинга, становится доступной информация о признаках обесценения, справедливая стоимость корректируется на ту же дату.</w:t>
      </w:r>
    </w:p>
    <w:p w14:paraId="2169F510" w14:textId="77777777" w:rsidR="000C1E0E" w:rsidRDefault="000C1E0E" w:rsidP="000C1E0E">
      <w:pPr>
        <w:widowControl w:val="0"/>
        <w:numPr>
          <w:ilvl w:val="2"/>
          <w:numId w:val="4"/>
        </w:numPr>
        <w:spacing w:before="60" w:after="60" w:line="240" w:lineRule="auto"/>
        <w:outlineLvl w:val="1"/>
        <w:rPr>
          <w:rFonts w:ascii="Times New Roman" w:hAnsi="Times New Roman"/>
          <w:sz w:val="24"/>
          <w:szCs w:val="24"/>
        </w:rPr>
      </w:pPr>
      <w:r>
        <w:rPr>
          <w:rFonts w:ascii="Times New Roman" w:hAnsi="Times New Roman"/>
          <w:sz w:val="24"/>
          <w:szCs w:val="24"/>
        </w:rPr>
        <w:t>Указанные события отслеживаются на каждую дату расчета СЧА на основании информации, опубликованной в следующих доступных источниках:</w:t>
      </w:r>
    </w:p>
    <w:p w14:paraId="78EB2A8B" w14:textId="77777777" w:rsidR="000C1E0E" w:rsidRDefault="000C1E0E" w:rsidP="000C1E0E">
      <w:pPr>
        <w:pStyle w:val="afc"/>
        <w:numPr>
          <w:ilvl w:val="0"/>
          <w:numId w:val="8"/>
        </w:numPr>
        <w:spacing w:line="240" w:lineRule="auto"/>
        <w:ind w:hanging="11"/>
        <w:rPr>
          <w:rFonts w:ascii="Times New Roman" w:hAnsi="Times New Roman"/>
          <w:sz w:val="24"/>
          <w:szCs w:val="24"/>
        </w:rPr>
      </w:pPr>
      <w:r>
        <w:rPr>
          <w:rFonts w:ascii="Times New Roman" w:hAnsi="Times New Roman"/>
          <w:sz w:val="24"/>
          <w:szCs w:val="24"/>
        </w:rPr>
        <w:t>В отношении юридических лиц:</w:t>
      </w:r>
    </w:p>
    <w:p w14:paraId="70CC1E7D" w14:textId="77777777" w:rsidR="000C1E0E" w:rsidRDefault="000C1E0E" w:rsidP="000C1E0E">
      <w:pPr>
        <w:keepNext/>
        <w:widowControl w:val="0"/>
        <w:spacing w:before="60" w:after="60" w:line="240" w:lineRule="auto"/>
        <w:ind w:left="720"/>
        <w:outlineLvl w:val="1"/>
        <w:rPr>
          <w:rFonts w:ascii="Times New Roman" w:hAnsi="Times New Roman"/>
          <w:sz w:val="24"/>
          <w:szCs w:val="24"/>
        </w:rPr>
      </w:pPr>
      <w:r>
        <w:rPr>
          <w:rFonts w:ascii="Times New Roman" w:hAnsi="Times New Roman"/>
          <w:sz w:val="24"/>
          <w:szCs w:val="24"/>
        </w:rPr>
        <w:t xml:space="preserve">- уполномоченное агентство ЗАО «Интерфакс» </w:t>
      </w:r>
      <w:hyperlink r:id="rId9" w:history="1">
        <w:r>
          <w:rPr>
            <w:rStyle w:val="a7"/>
            <w:rFonts w:eastAsiaTheme="majorEastAsia"/>
            <w:sz w:val="24"/>
            <w:szCs w:val="24"/>
          </w:rPr>
          <w:t>https://www.e-disclosure.ru</w:t>
        </w:r>
      </w:hyperlink>
      <w:r>
        <w:rPr>
          <w:rFonts w:ascii="Times New Roman" w:hAnsi="Times New Roman"/>
          <w:sz w:val="24"/>
          <w:szCs w:val="24"/>
        </w:rPr>
        <w:t>;</w:t>
      </w:r>
    </w:p>
    <w:p w14:paraId="61BA9553" w14:textId="77777777" w:rsidR="000C1E0E" w:rsidRPr="00E06251" w:rsidRDefault="000C1E0E" w:rsidP="000C1E0E">
      <w:pPr>
        <w:keepNext/>
        <w:widowControl w:val="0"/>
        <w:spacing w:before="60" w:after="60" w:line="240" w:lineRule="auto"/>
        <w:ind w:left="720"/>
        <w:outlineLvl w:val="1"/>
        <w:rPr>
          <w:rFonts w:ascii="Times New Roman" w:hAnsi="Times New Roman"/>
          <w:sz w:val="24"/>
          <w:szCs w:val="24"/>
        </w:rPr>
      </w:pPr>
      <w:r>
        <w:rPr>
          <w:rFonts w:ascii="Times New Roman" w:hAnsi="Times New Roman"/>
          <w:sz w:val="24"/>
          <w:szCs w:val="24"/>
        </w:rPr>
        <w:t xml:space="preserve">-Московская Биржа </w:t>
      </w:r>
      <w:hyperlink r:id="rId10" w:history="1">
        <w:r w:rsidRPr="00E06251">
          <w:rPr>
            <w:rStyle w:val="a7"/>
            <w:rFonts w:eastAsiaTheme="majorEastAsia"/>
            <w:sz w:val="24"/>
            <w:szCs w:val="24"/>
          </w:rPr>
          <w:t>https://www.moex.com</w:t>
        </w:r>
      </w:hyperlink>
      <w:r w:rsidRPr="00E06251">
        <w:rPr>
          <w:rFonts w:ascii="Times New Roman" w:hAnsi="Times New Roman"/>
          <w:sz w:val="24"/>
          <w:szCs w:val="24"/>
        </w:rPr>
        <w:t>;</w:t>
      </w:r>
    </w:p>
    <w:p w14:paraId="4DFF6AFE" w14:textId="305D34D9" w:rsidR="000C1E0E" w:rsidRPr="00E06251" w:rsidRDefault="000C1E0E" w:rsidP="000C1E0E">
      <w:pPr>
        <w:keepNext/>
        <w:widowControl w:val="0"/>
        <w:spacing w:before="60" w:after="60" w:line="240" w:lineRule="auto"/>
        <w:ind w:left="720"/>
        <w:outlineLvl w:val="1"/>
        <w:rPr>
          <w:rFonts w:ascii="Times New Roman" w:hAnsi="Times New Roman"/>
          <w:sz w:val="24"/>
          <w:szCs w:val="24"/>
        </w:rPr>
      </w:pPr>
      <w:r w:rsidRPr="00E06251">
        <w:rPr>
          <w:rFonts w:ascii="Times New Roman" w:hAnsi="Times New Roman"/>
          <w:sz w:val="24"/>
          <w:szCs w:val="24"/>
        </w:rPr>
        <w:t>- сайт Центрального Банка РФ</w:t>
      </w:r>
      <w:r w:rsidR="00141A81" w:rsidRPr="00E06251">
        <w:rPr>
          <w:rFonts w:ascii="Times New Roman" w:hAnsi="Times New Roman"/>
          <w:sz w:val="24"/>
          <w:szCs w:val="24"/>
        </w:rPr>
        <w:t xml:space="preserve"> </w:t>
      </w:r>
      <w:r w:rsidR="00141A81" w:rsidRPr="00E06251">
        <w:rPr>
          <w:sz w:val="24"/>
          <w:szCs w:val="24"/>
        </w:rPr>
        <w:t>https://www.cbr.ru</w:t>
      </w:r>
      <w:r w:rsidRPr="00E06251">
        <w:rPr>
          <w:rFonts w:ascii="Times New Roman" w:hAnsi="Times New Roman"/>
          <w:sz w:val="24"/>
          <w:szCs w:val="24"/>
        </w:rPr>
        <w:t>;</w:t>
      </w:r>
    </w:p>
    <w:p w14:paraId="5AB863F2" w14:textId="77777777" w:rsidR="000C1E0E" w:rsidRPr="00E06251" w:rsidRDefault="000C1E0E" w:rsidP="000C1E0E">
      <w:pPr>
        <w:keepNext/>
        <w:widowControl w:val="0"/>
        <w:spacing w:before="60" w:after="60" w:line="240" w:lineRule="auto"/>
        <w:ind w:left="720"/>
        <w:outlineLvl w:val="1"/>
        <w:rPr>
          <w:rFonts w:ascii="Times New Roman" w:hAnsi="Times New Roman"/>
          <w:sz w:val="24"/>
          <w:szCs w:val="24"/>
        </w:rPr>
      </w:pPr>
      <w:r w:rsidRPr="00E06251">
        <w:rPr>
          <w:rFonts w:ascii="Times New Roman" w:hAnsi="Times New Roman"/>
          <w:sz w:val="24"/>
          <w:szCs w:val="24"/>
        </w:rPr>
        <w:t xml:space="preserve">- картотека арбитражных дел </w:t>
      </w:r>
      <w:hyperlink r:id="rId11" w:history="1">
        <w:r w:rsidRPr="00E06251">
          <w:rPr>
            <w:rStyle w:val="a7"/>
            <w:rFonts w:eastAsiaTheme="majorEastAsia"/>
            <w:sz w:val="24"/>
            <w:szCs w:val="24"/>
          </w:rPr>
          <w:t>https://kad.arbitr.ru</w:t>
        </w:r>
      </w:hyperlink>
      <w:r w:rsidRPr="00E06251">
        <w:rPr>
          <w:rFonts w:ascii="Times New Roman" w:hAnsi="Times New Roman"/>
          <w:sz w:val="24"/>
          <w:szCs w:val="24"/>
        </w:rPr>
        <w:t>;</w:t>
      </w:r>
    </w:p>
    <w:p w14:paraId="6EDF144D" w14:textId="77777777" w:rsidR="000C1E0E" w:rsidRPr="00E06251" w:rsidRDefault="000C1E0E" w:rsidP="000C1E0E">
      <w:pPr>
        <w:keepNext/>
        <w:widowControl w:val="0"/>
        <w:spacing w:before="60" w:after="60" w:line="240" w:lineRule="auto"/>
        <w:ind w:left="720"/>
        <w:outlineLvl w:val="1"/>
        <w:rPr>
          <w:rFonts w:ascii="Times New Roman" w:hAnsi="Times New Roman"/>
          <w:sz w:val="24"/>
          <w:szCs w:val="24"/>
        </w:rPr>
      </w:pPr>
      <w:r w:rsidRPr="00E06251">
        <w:rPr>
          <w:rFonts w:ascii="Times New Roman" w:hAnsi="Times New Roman"/>
          <w:sz w:val="24"/>
          <w:szCs w:val="24"/>
        </w:rPr>
        <w:t xml:space="preserve">- единый федеральный реестр сведений о банкротстве </w:t>
      </w:r>
      <w:hyperlink r:id="rId12" w:history="1">
        <w:r w:rsidRPr="00E06251">
          <w:rPr>
            <w:rStyle w:val="a7"/>
            <w:rFonts w:eastAsiaTheme="majorEastAsia"/>
            <w:sz w:val="24"/>
            <w:szCs w:val="24"/>
          </w:rPr>
          <w:t>https://bankrot.fedresurs.ru</w:t>
        </w:r>
      </w:hyperlink>
      <w:r w:rsidRPr="00E06251">
        <w:rPr>
          <w:rFonts w:ascii="Times New Roman" w:hAnsi="Times New Roman"/>
          <w:sz w:val="24"/>
          <w:szCs w:val="24"/>
        </w:rPr>
        <w:t>;</w:t>
      </w:r>
    </w:p>
    <w:p w14:paraId="7F1AC28F" w14:textId="77777777" w:rsidR="000C1E0E" w:rsidRDefault="000C1E0E" w:rsidP="000C1E0E">
      <w:pPr>
        <w:keepNext/>
        <w:widowControl w:val="0"/>
        <w:spacing w:before="60" w:after="60" w:line="240" w:lineRule="auto"/>
        <w:ind w:left="720"/>
        <w:outlineLvl w:val="1"/>
        <w:rPr>
          <w:rFonts w:ascii="Times New Roman" w:hAnsi="Times New Roman"/>
          <w:sz w:val="24"/>
          <w:szCs w:val="24"/>
        </w:rPr>
      </w:pPr>
      <w:r w:rsidRPr="00E06251">
        <w:rPr>
          <w:rFonts w:ascii="Times New Roman" w:hAnsi="Times New Roman"/>
          <w:sz w:val="24"/>
          <w:szCs w:val="24"/>
        </w:rPr>
        <w:t>- единый федеральный реестр сведений о фактах</w:t>
      </w:r>
      <w:r>
        <w:rPr>
          <w:rFonts w:ascii="Times New Roman" w:hAnsi="Times New Roman"/>
          <w:sz w:val="24"/>
          <w:szCs w:val="24"/>
        </w:rPr>
        <w:t xml:space="preserve"> деятельности юридических лиц </w:t>
      </w:r>
      <w:hyperlink r:id="rId13" w:history="1">
        <w:r>
          <w:rPr>
            <w:rStyle w:val="a7"/>
            <w:rFonts w:eastAsiaTheme="majorEastAsia"/>
            <w:sz w:val="24"/>
            <w:szCs w:val="24"/>
          </w:rPr>
          <w:t>https://fedresurs.ru</w:t>
        </w:r>
      </w:hyperlink>
      <w:r>
        <w:rPr>
          <w:rFonts w:ascii="Times New Roman" w:hAnsi="Times New Roman"/>
          <w:sz w:val="24"/>
          <w:szCs w:val="24"/>
        </w:rPr>
        <w:t>;</w:t>
      </w:r>
    </w:p>
    <w:p w14:paraId="40A6DA11" w14:textId="77777777" w:rsidR="000C1E0E" w:rsidRDefault="000C1E0E" w:rsidP="000C1E0E">
      <w:pPr>
        <w:keepNext/>
        <w:widowControl w:val="0"/>
        <w:spacing w:before="60" w:after="60" w:line="240" w:lineRule="auto"/>
        <w:ind w:left="720"/>
        <w:outlineLvl w:val="1"/>
        <w:rPr>
          <w:rFonts w:ascii="Times New Roman" w:hAnsi="Times New Roman"/>
          <w:sz w:val="24"/>
          <w:szCs w:val="24"/>
        </w:rPr>
      </w:pPr>
      <w:r>
        <w:rPr>
          <w:rFonts w:ascii="Times New Roman" w:hAnsi="Times New Roman"/>
          <w:sz w:val="24"/>
          <w:szCs w:val="24"/>
        </w:rPr>
        <w:t xml:space="preserve">-сайты рейтинговых агентств </w:t>
      </w:r>
      <w:hyperlink r:id="rId14" w:history="1">
        <w:r>
          <w:rPr>
            <w:rStyle w:val="a7"/>
            <w:rFonts w:eastAsiaTheme="majorEastAsia"/>
            <w:sz w:val="24"/>
            <w:szCs w:val="24"/>
          </w:rPr>
          <w:t>https://www.acra-ratings.ru</w:t>
        </w:r>
      </w:hyperlink>
      <w:r>
        <w:rPr>
          <w:rFonts w:ascii="Times New Roman" w:hAnsi="Times New Roman"/>
          <w:sz w:val="24"/>
          <w:szCs w:val="24"/>
        </w:rPr>
        <w:t xml:space="preserve">; </w:t>
      </w:r>
      <w:hyperlink r:id="rId15" w:history="1">
        <w:r>
          <w:rPr>
            <w:rStyle w:val="a7"/>
            <w:rFonts w:eastAsiaTheme="majorEastAsia"/>
            <w:sz w:val="24"/>
            <w:szCs w:val="24"/>
          </w:rPr>
          <w:t>https://raexpert.ru</w:t>
        </w:r>
      </w:hyperlink>
      <w:r>
        <w:rPr>
          <w:rFonts w:ascii="Times New Roman" w:hAnsi="Times New Roman"/>
          <w:sz w:val="24"/>
          <w:szCs w:val="24"/>
        </w:rPr>
        <w:t xml:space="preserve">; </w:t>
      </w:r>
      <w:hyperlink r:id="rId16" w:history="1">
        <w:r>
          <w:rPr>
            <w:rStyle w:val="a7"/>
            <w:rFonts w:eastAsiaTheme="majorEastAsia"/>
            <w:sz w:val="24"/>
            <w:szCs w:val="24"/>
          </w:rPr>
          <w:t>https://www.fitchratings.com</w:t>
        </w:r>
      </w:hyperlink>
      <w:r>
        <w:rPr>
          <w:rFonts w:ascii="Times New Roman" w:hAnsi="Times New Roman"/>
          <w:sz w:val="24"/>
          <w:szCs w:val="24"/>
        </w:rPr>
        <w:t>; https://www.standardandpoors.com;</w:t>
      </w:r>
    </w:p>
    <w:p w14:paraId="5C088A3A" w14:textId="77777777" w:rsidR="000C1E0E" w:rsidRDefault="000C1E0E" w:rsidP="000C1E0E">
      <w:pPr>
        <w:keepNext/>
        <w:widowControl w:val="0"/>
        <w:spacing w:before="60" w:after="60" w:line="240" w:lineRule="auto"/>
        <w:ind w:left="720"/>
        <w:outlineLvl w:val="1"/>
        <w:rPr>
          <w:rFonts w:ascii="Times New Roman" w:hAnsi="Times New Roman"/>
          <w:sz w:val="24"/>
          <w:szCs w:val="24"/>
        </w:rPr>
      </w:pPr>
      <w:r>
        <w:rPr>
          <w:rFonts w:ascii="Times New Roman" w:hAnsi="Times New Roman"/>
          <w:sz w:val="24"/>
          <w:szCs w:val="24"/>
        </w:rPr>
        <w:t>-официальный сайт контрагента/эмитента/;</w:t>
      </w:r>
    </w:p>
    <w:p w14:paraId="4EABBAEC" w14:textId="77777777" w:rsidR="000C1E0E" w:rsidRDefault="000C1E0E" w:rsidP="000C1E0E">
      <w:pPr>
        <w:keepNext/>
        <w:widowControl w:val="0"/>
        <w:spacing w:before="60" w:after="60" w:line="240" w:lineRule="auto"/>
        <w:ind w:left="720"/>
        <w:outlineLvl w:val="1"/>
        <w:rPr>
          <w:rFonts w:ascii="Times New Roman" w:hAnsi="Times New Roman"/>
          <w:sz w:val="24"/>
          <w:szCs w:val="24"/>
        </w:rPr>
      </w:pPr>
      <w:r>
        <w:rPr>
          <w:rFonts w:ascii="Times New Roman" w:hAnsi="Times New Roman"/>
          <w:sz w:val="24"/>
          <w:szCs w:val="24"/>
        </w:rPr>
        <w:t xml:space="preserve">- сервис предоставления бухгалтерской (годовой) отчетности Росстата </w:t>
      </w:r>
      <w:hyperlink r:id="rId17" w:history="1">
        <w:r>
          <w:rPr>
            <w:rStyle w:val="a7"/>
            <w:rFonts w:eastAsiaTheme="majorEastAsia"/>
            <w:sz w:val="24"/>
            <w:szCs w:val="24"/>
          </w:rPr>
          <w:t>http://www.gks.ru/accounting_report</w:t>
        </w:r>
      </w:hyperlink>
      <w:r>
        <w:rPr>
          <w:rFonts w:ascii="Times New Roman" w:hAnsi="Times New Roman"/>
          <w:sz w:val="24"/>
          <w:szCs w:val="24"/>
        </w:rPr>
        <w:t>;</w:t>
      </w:r>
    </w:p>
    <w:p w14:paraId="2D2EC022" w14:textId="77777777" w:rsidR="000C1E0E" w:rsidRDefault="000C1E0E" w:rsidP="000C1E0E">
      <w:pPr>
        <w:keepNext/>
        <w:widowControl w:val="0"/>
        <w:spacing w:before="60" w:after="60" w:line="240" w:lineRule="auto"/>
        <w:ind w:left="720"/>
        <w:outlineLvl w:val="1"/>
        <w:rPr>
          <w:rFonts w:ascii="Times New Roman" w:hAnsi="Times New Roman"/>
          <w:sz w:val="24"/>
          <w:szCs w:val="24"/>
        </w:rPr>
      </w:pPr>
      <w:r>
        <w:rPr>
          <w:rFonts w:ascii="Times New Roman" w:hAnsi="Times New Roman"/>
          <w:sz w:val="24"/>
          <w:szCs w:val="24"/>
        </w:rPr>
        <w:t>- иные источники информации, доступные Управляющей компании.</w:t>
      </w:r>
    </w:p>
    <w:p w14:paraId="758DAE5E" w14:textId="77777777" w:rsidR="000C1E0E" w:rsidRDefault="000C1E0E" w:rsidP="000C1E0E">
      <w:pPr>
        <w:pStyle w:val="afc"/>
        <w:numPr>
          <w:ilvl w:val="0"/>
          <w:numId w:val="8"/>
        </w:numPr>
        <w:spacing w:line="240" w:lineRule="auto"/>
        <w:ind w:hanging="11"/>
        <w:rPr>
          <w:rFonts w:ascii="Times New Roman" w:hAnsi="Times New Roman"/>
          <w:sz w:val="24"/>
          <w:szCs w:val="24"/>
        </w:rPr>
      </w:pPr>
      <w:r>
        <w:rPr>
          <w:rFonts w:ascii="Times New Roman" w:hAnsi="Times New Roman"/>
          <w:sz w:val="24"/>
          <w:szCs w:val="24"/>
        </w:rPr>
        <w:t>В отношении физических лиц:</w:t>
      </w:r>
    </w:p>
    <w:p w14:paraId="57673A11" w14:textId="77777777" w:rsidR="000C1E0E" w:rsidRDefault="000C1E0E" w:rsidP="000C1E0E">
      <w:pPr>
        <w:keepNext/>
        <w:widowControl w:val="0"/>
        <w:spacing w:before="60" w:after="60" w:line="240" w:lineRule="auto"/>
        <w:ind w:left="720"/>
        <w:outlineLvl w:val="1"/>
        <w:rPr>
          <w:rFonts w:ascii="Times New Roman" w:hAnsi="Times New Roman"/>
          <w:sz w:val="24"/>
          <w:szCs w:val="24"/>
        </w:rPr>
      </w:pPr>
      <w:r>
        <w:rPr>
          <w:rFonts w:ascii="Times New Roman" w:hAnsi="Times New Roman"/>
          <w:sz w:val="24"/>
          <w:szCs w:val="24"/>
        </w:rPr>
        <w:t xml:space="preserve">- картотека арбитражных дел </w:t>
      </w:r>
      <w:hyperlink r:id="rId18" w:history="1">
        <w:r>
          <w:rPr>
            <w:rStyle w:val="a7"/>
            <w:rFonts w:eastAsiaTheme="majorEastAsia"/>
            <w:sz w:val="24"/>
            <w:szCs w:val="24"/>
          </w:rPr>
          <w:t>https://kad.arbitr.ru</w:t>
        </w:r>
      </w:hyperlink>
    </w:p>
    <w:p w14:paraId="2E2B8A00" w14:textId="77777777" w:rsidR="000C1E0E" w:rsidRDefault="000C1E0E" w:rsidP="000C1E0E">
      <w:pPr>
        <w:keepNext/>
        <w:widowControl w:val="0"/>
        <w:spacing w:before="60" w:after="60" w:line="240" w:lineRule="auto"/>
        <w:ind w:left="720"/>
        <w:outlineLvl w:val="1"/>
        <w:rPr>
          <w:rFonts w:ascii="Times New Roman" w:hAnsi="Times New Roman"/>
          <w:sz w:val="24"/>
          <w:szCs w:val="24"/>
        </w:rPr>
      </w:pPr>
      <w:r>
        <w:rPr>
          <w:rFonts w:ascii="Times New Roman" w:hAnsi="Times New Roman"/>
          <w:sz w:val="24"/>
          <w:szCs w:val="24"/>
        </w:rPr>
        <w:t xml:space="preserve">- единый федеральный реестр сведений о банкротстве </w:t>
      </w:r>
      <w:hyperlink r:id="rId19" w:history="1">
        <w:r>
          <w:rPr>
            <w:rStyle w:val="a7"/>
            <w:rFonts w:eastAsiaTheme="majorEastAsia"/>
            <w:sz w:val="24"/>
            <w:szCs w:val="24"/>
          </w:rPr>
          <w:t>https://bankrot.fedresurs.ru</w:t>
        </w:r>
      </w:hyperlink>
    </w:p>
    <w:p w14:paraId="5759E416" w14:textId="77777777" w:rsidR="000C1E0E" w:rsidRDefault="000C1E0E" w:rsidP="000C1E0E">
      <w:pPr>
        <w:keepNext/>
        <w:widowControl w:val="0"/>
        <w:spacing w:before="60" w:after="60" w:line="240" w:lineRule="auto"/>
        <w:ind w:left="720"/>
        <w:outlineLvl w:val="1"/>
        <w:rPr>
          <w:rFonts w:ascii="Times New Roman" w:hAnsi="Times New Roman"/>
          <w:sz w:val="24"/>
          <w:szCs w:val="24"/>
        </w:rPr>
      </w:pPr>
      <w:r>
        <w:rPr>
          <w:rFonts w:ascii="Times New Roman" w:hAnsi="Times New Roman"/>
          <w:sz w:val="24"/>
          <w:szCs w:val="24"/>
        </w:rPr>
        <w:t xml:space="preserve">- издание «Коммерсант» - </w:t>
      </w:r>
      <w:hyperlink r:id="rId20" w:history="1">
        <w:r>
          <w:rPr>
            <w:rStyle w:val="a7"/>
            <w:rFonts w:eastAsiaTheme="majorEastAsia"/>
            <w:sz w:val="24"/>
            <w:szCs w:val="24"/>
          </w:rPr>
          <w:t>https://bankruptcy.kommersant.ru</w:t>
        </w:r>
      </w:hyperlink>
    </w:p>
    <w:p w14:paraId="2E9001C6" w14:textId="77777777" w:rsidR="000C1E0E" w:rsidRDefault="000C1E0E" w:rsidP="000C1E0E">
      <w:pPr>
        <w:widowControl w:val="0"/>
        <w:numPr>
          <w:ilvl w:val="2"/>
          <w:numId w:val="4"/>
        </w:numPr>
        <w:spacing w:before="60" w:after="60" w:line="240" w:lineRule="auto"/>
        <w:outlineLvl w:val="1"/>
        <w:rPr>
          <w:rFonts w:ascii="Times New Roman" w:hAnsi="Times New Roman"/>
          <w:sz w:val="24"/>
          <w:szCs w:val="24"/>
        </w:rPr>
      </w:pPr>
      <w:r>
        <w:rPr>
          <w:rFonts w:ascii="Times New Roman" w:hAnsi="Times New Roman"/>
          <w:sz w:val="24"/>
          <w:szCs w:val="24"/>
        </w:rPr>
        <w:t>В случае фактической просрочки погашения дебиторской задолженности, управляющая компания ПИФ должна обесценивать Тестируемые активы, исходя из срока просроченной задолженности, с учетом кредитного риска конкретного дебитора. Расчет обесценения должен основываться на статистических данных, подтверждающих степень обесценения, в зависимости от срока просроченной задолженности, кредитного качества дебитора и ожидаемых к получению денежных потоков.</w:t>
      </w:r>
    </w:p>
    <w:p w14:paraId="65A0E457" w14:textId="77777777" w:rsidR="000C1E0E" w:rsidRDefault="000C1E0E" w:rsidP="000C1E0E">
      <w:pPr>
        <w:widowControl w:val="0"/>
        <w:numPr>
          <w:ilvl w:val="2"/>
          <w:numId w:val="4"/>
        </w:numPr>
        <w:spacing w:before="60" w:after="60" w:line="240" w:lineRule="auto"/>
        <w:outlineLvl w:val="1"/>
        <w:rPr>
          <w:rFonts w:ascii="Times New Roman" w:hAnsi="Times New Roman"/>
          <w:sz w:val="24"/>
          <w:szCs w:val="24"/>
        </w:rPr>
      </w:pPr>
      <w:r>
        <w:rPr>
          <w:rFonts w:ascii="Times New Roman" w:hAnsi="Times New Roman"/>
          <w:sz w:val="24"/>
          <w:szCs w:val="24"/>
        </w:rPr>
        <w:t xml:space="preserve">В случае, если справедливая стоимость актива определялась на основании отчета оценщика, с даты оценки которого прошло менее 6 месяцев до даты возникновения признаков обесценения актива, при возникновении события, ведущего к обесценению актива, Управляющая компания вправе применять такой отчет с обязательной корректировкой стоимости, указанной в отчете, в соответствии с методом корректировки справедливой стоимости, предусмотренной настоящим пунктом. В максимально короткие сроки отчет оценщика необходимо актуализировать. </w:t>
      </w:r>
    </w:p>
    <w:p w14:paraId="6864CE85" w14:textId="77777777" w:rsidR="000C1E0E" w:rsidRDefault="000C1E0E" w:rsidP="000C1E0E">
      <w:pPr>
        <w:widowControl w:val="0"/>
        <w:numPr>
          <w:ilvl w:val="2"/>
          <w:numId w:val="4"/>
        </w:numPr>
        <w:spacing w:before="60" w:after="60" w:line="240" w:lineRule="auto"/>
        <w:outlineLvl w:val="1"/>
        <w:rPr>
          <w:rFonts w:ascii="Times New Roman" w:hAnsi="Times New Roman"/>
          <w:sz w:val="24"/>
          <w:szCs w:val="24"/>
        </w:rPr>
      </w:pPr>
      <w:r>
        <w:rPr>
          <w:rFonts w:ascii="Times New Roman" w:hAnsi="Times New Roman"/>
          <w:sz w:val="24"/>
          <w:szCs w:val="24"/>
        </w:rPr>
        <w:t>При наличии указанной выше информации о предполагаемых кредитных рисках, для корректировки справедливой стоимости активов используется методика оценки кредитного риска в соответствии с Приложением №2 к настоящим Правилам.</w:t>
      </w:r>
    </w:p>
    <w:p w14:paraId="7E53BA40" w14:textId="77777777" w:rsidR="000C1E0E" w:rsidRDefault="000C1E0E" w:rsidP="000C1E0E">
      <w:pPr>
        <w:widowControl w:val="0"/>
        <w:numPr>
          <w:ilvl w:val="1"/>
          <w:numId w:val="4"/>
        </w:numPr>
        <w:spacing w:before="60" w:after="60" w:line="240" w:lineRule="auto"/>
        <w:outlineLvl w:val="1"/>
        <w:rPr>
          <w:rFonts w:ascii="Times New Roman" w:hAnsi="Times New Roman"/>
          <w:b/>
          <w:sz w:val="24"/>
          <w:szCs w:val="24"/>
        </w:rPr>
      </w:pPr>
      <w:r>
        <w:rPr>
          <w:rFonts w:ascii="Times New Roman" w:hAnsi="Times New Roman"/>
          <w:b/>
          <w:sz w:val="24"/>
          <w:szCs w:val="24"/>
        </w:rPr>
        <w:t>Порядок определения справедливой стоимости денежных средств на расчетных счетах (включая соглашение о минимальном неснижаемом остатке), брокерских счетах и денежных средств, размещенных во вкладах в кредитных организациях по договорам банковского вклада (далее-депозит).</w:t>
      </w:r>
    </w:p>
    <w:p w14:paraId="6D1D25B4" w14:textId="77777777" w:rsidR="000C1E0E" w:rsidRDefault="000C1E0E" w:rsidP="000C1E0E">
      <w:pPr>
        <w:widowControl w:val="0"/>
        <w:numPr>
          <w:ilvl w:val="2"/>
          <w:numId w:val="4"/>
        </w:numPr>
        <w:spacing w:before="60" w:after="60" w:line="240" w:lineRule="auto"/>
        <w:outlineLvl w:val="1"/>
        <w:rPr>
          <w:rFonts w:ascii="Times New Roman" w:hAnsi="Times New Roman"/>
          <w:sz w:val="24"/>
          <w:szCs w:val="24"/>
        </w:rPr>
      </w:pPr>
      <w:r>
        <w:rPr>
          <w:rFonts w:ascii="Times New Roman" w:hAnsi="Times New Roman"/>
          <w:sz w:val="24"/>
          <w:szCs w:val="24"/>
        </w:rPr>
        <w:t>Справедливая стоимость денежных средств на счетах, в том числе на транзитных, валютных счетах, открытых на имя управляющей компании Д.У. ПИФ, определяется в сумме остатка на счетах.</w:t>
      </w:r>
    </w:p>
    <w:p w14:paraId="123C5F5B" w14:textId="77777777" w:rsidR="000C1E0E" w:rsidRDefault="000C1E0E" w:rsidP="000C1E0E">
      <w:pPr>
        <w:widowControl w:val="0"/>
        <w:numPr>
          <w:ilvl w:val="2"/>
          <w:numId w:val="4"/>
        </w:numPr>
        <w:spacing w:before="60" w:after="60" w:line="240" w:lineRule="auto"/>
        <w:outlineLvl w:val="1"/>
        <w:rPr>
          <w:rFonts w:ascii="Times New Roman" w:hAnsi="Times New Roman"/>
          <w:sz w:val="24"/>
          <w:szCs w:val="24"/>
        </w:rPr>
      </w:pPr>
      <w:r>
        <w:rPr>
          <w:rFonts w:ascii="Times New Roman" w:hAnsi="Times New Roman"/>
          <w:sz w:val="24"/>
          <w:szCs w:val="24"/>
        </w:rPr>
        <w:t xml:space="preserve">Справедливая стоимость денежных средств, находящихся у брокера (дебиторская задолженность брокера по возврату денежных средств, находящихся на специальном брокерском счете) определяется в сумме остатка на специальном брокерском счете брокера. </w:t>
      </w:r>
    </w:p>
    <w:p w14:paraId="3122EE5E" w14:textId="77777777" w:rsidR="000C1E0E" w:rsidRDefault="000C1E0E" w:rsidP="000C1E0E">
      <w:pPr>
        <w:widowControl w:val="0"/>
        <w:numPr>
          <w:ilvl w:val="2"/>
          <w:numId w:val="4"/>
        </w:numPr>
        <w:spacing w:before="60" w:after="60" w:line="240" w:lineRule="auto"/>
        <w:outlineLvl w:val="1"/>
        <w:rPr>
          <w:rFonts w:ascii="Times New Roman" w:hAnsi="Times New Roman"/>
          <w:sz w:val="24"/>
          <w:szCs w:val="24"/>
        </w:rPr>
      </w:pPr>
      <w:r>
        <w:rPr>
          <w:rFonts w:ascii="Times New Roman" w:hAnsi="Times New Roman"/>
          <w:sz w:val="24"/>
          <w:szCs w:val="24"/>
        </w:rPr>
        <w:t>В случае, если на остаток денежных средств на расчетном счете банком начисляются проценты, при этом ограничений на использование денежных средств не накладывается, такие проценты признаются в момент их зачисления банком на расчетный счет.</w:t>
      </w:r>
    </w:p>
    <w:p w14:paraId="241F4A7E" w14:textId="77777777" w:rsidR="000C1E0E" w:rsidRDefault="000C1E0E" w:rsidP="000C1E0E">
      <w:pPr>
        <w:widowControl w:val="0"/>
        <w:numPr>
          <w:ilvl w:val="2"/>
          <w:numId w:val="4"/>
        </w:numPr>
        <w:spacing w:before="60" w:after="60" w:line="240" w:lineRule="auto"/>
        <w:outlineLvl w:val="1"/>
        <w:rPr>
          <w:rFonts w:ascii="Times New Roman" w:hAnsi="Times New Roman"/>
          <w:sz w:val="24"/>
          <w:szCs w:val="24"/>
        </w:rPr>
      </w:pPr>
      <w:r>
        <w:rPr>
          <w:rFonts w:ascii="Times New Roman" w:hAnsi="Times New Roman"/>
          <w:sz w:val="24"/>
          <w:szCs w:val="24"/>
        </w:rPr>
        <w:t>Справедливая стоимость депозитов в течение максимального срока, предусмотренного договором, определяется:</w:t>
      </w:r>
    </w:p>
    <w:p w14:paraId="5F797C0B" w14:textId="77777777" w:rsidR="000C1E0E" w:rsidRDefault="000C1E0E" w:rsidP="000C1E0E">
      <w:pPr>
        <w:widowControl w:val="0"/>
        <w:spacing w:before="60" w:after="60" w:line="240" w:lineRule="auto"/>
        <w:ind w:left="720"/>
        <w:outlineLvl w:val="1"/>
        <w:rPr>
          <w:rFonts w:ascii="Times New Roman" w:hAnsi="Times New Roman"/>
          <w:sz w:val="24"/>
          <w:szCs w:val="24"/>
        </w:rPr>
      </w:pPr>
      <w:r>
        <w:rPr>
          <w:rFonts w:ascii="Times New Roman" w:hAnsi="Times New Roman"/>
          <w:sz w:val="24"/>
          <w:szCs w:val="24"/>
        </w:rPr>
        <w:t>- в сумме остатка денежных средств во вкладе, увеличенной на сумму процентов, рассчитанных на дату определения СЧА по ставке, предусмотренной договором, если срок погашения вклада «до востребования»;</w:t>
      </w:r>
    </w:p>
    <w:p w14:paraId="52989BA5" w14:textId="77777777" w:rsidR="000C1E0E" w:rsidRDefault="000C1E0E" w:rsidP="000C1E0E">
      <w:pPr>
        <w:widowControl w:val="0"/>
        <w:spacing w:before="60" w:after="60" w:line="240" w:lineRule="auto"/>
        <w:ind w:left="720"/>
        <w:outlineLvl w:val="1"/>
        <w:rPr>
          <w:rFonts w:ascii="Times New Roman" w:hAnsi="Times New Roman"/>
          <w:sz w:val="24"/>
          <w:szCs w:val="24"/>
        </w:rPr>
      </w:pPr>
      <w:r>
        <w:rPr>
          <w:rFonts w:ascii="Times New Roman" w:hAnsi="Times New Roman"/>
          <w:sz w:val="24"/>
          <w:szCs w:val="24"/>
        </w:rPr>
        <w:t>- в сумме остатка денежных средств во вкладе, увеличенного на сумму процентов, рассчитанных на дату определения СЧА по ставке, предусмотренной договором для удержания денежных средств во вкладе в течение максимального срока, предусмотренного договором (включая депозиты, дата погашения которых приходится на другой отчетный год), если срок погашения вклада составляет не более 1 (Одного) года и ставка по договору признана рыночной на дату определения справедливой стоимости в соответствии с п 3.17.4 настоящих Правил.</w:t>
      </w:r>
    </w:p>
    <w:p w14:paraId="4397E720" w14:textId="77777777" w:rsidR="000C1E0E" w:rsidRDefault="000C1E0E" w:rsidP="000C1E0E">
      <w:pPr>
        <w:widowControl w:val="0"/>
        <w:spacing w:before="60" w:after="60" w:line="240" w:lineRule="auto"/>
        <w:ind w:left="720"/>
        <w:outlineLvl w:val="1"/>
        <w:rPr>
          <w:rFonts w:ascii="Times New Roman" w:hAnsi="Times New Roman"/>
          <w:sz w:val="24"/>
          <w:szCs w:val="24"/>
        </w:rPr>
      </w:pPr>
      <w:r>
        <w:rPr>
          <w:rFonts w:ascii="Times New Roman" w:hAnsi="Times New Roman"/>
          <w:sz w:val="24"/>
          <w:szCs w:val="24"/>
        </w:rPr>
        <w:t xml:space="preserve">- в сумме, определенной с использованием метода приведенной стоимости будущих денежных потоков в соответствии с п. 3.17 настоящих Правил - в иных случаях. </w:t>
      </w:r>
    </w:p>
    <w:p w14:paraId="358A9CD4" w14:textId="77777777" w:rsidR="000C1E0E" w:rsidRDefault="000C1E0E" w:rsidP="000C1E0E">
      <w:pPr>
        <w:widowControl w:val="0"/>
        <w:spacing w:before="60" w:after="60" w:line="240" w:lineRule="auto"/>
        <w:ind w:left="709"/>
        <w:outlineLvl w:val="1"/>
        <w:rPr>
          <w:rFonts w:ascii="Times New Roman" w:hAnsi="Times New Roman"/>
          <w:sz w:val="24"/>
          <w:szCs w:val="24"/>
        </w:rPr>
      </w:pPr>
      <w:r>
        <w:rPr>
          <w:rFonts w:ascii="Times New Roman" w:hAnsi="Times New Roman"/>
          <w:sz w:val="24"/>
          <w:szCs w:val="24"/>
        </w:rPr>
        <w:t>В случае внесения изменения в условия определения срока договора, максимальный срок определяется в соответствии с изменённым сроком депозита, действующим на дату определения СЧА без суммирования сроков депозита.</w:t>
      </w:r>
    </w:p>
    <w:p w14:paraId="21AF4191" w14:textId="77777777" w:rsidR="000C1E0E" w:rsidRDefault="000C1E0E" w:rsidP="000C1E0E">
      <w:pPr>
        <w:pStyle w:val="afc"/>
        <w:widowControl w:val="0"/>
        <w:spacing w:before="60" w:after="60" w:line="240" w:lineRule="auto"/>
        <w:outlineLvl w:val="1"/>
        <w:rPr>
          <w:rFonts w:ascii="Times New Roman" w:hAnsi="Times New Roman"/>
          <w:sz w:val="24"/>
          <w:szCs w:val="24"/>
        </w:rPr>
      </w:pPr>
      <w:r>
        <w:rPr>
          <w:rFonts w:ascii="Times New Roman" w:hAnsi="Times New Roman"/>
          <w:sz w:val="24"/>
          <w:szCs w:val="24"/>
        </w:rPr>
        <w:t>Справедливая стоимость депозита, в случае необходимости, определяется с учетом корректировки на кредитное обесценение в соответствии с порядком, указанным в п 3.13. настоящих Правил.</w:t>
      </w:r>
    </w:p>
    <w:p w14:paraId="5B731544" w14:textId="77777777" w:rsidR="000C1E0E" w:rsidRDefault="000C1E0E" w:rsidP="000C1E0E">
      <w:pPr>
        <w:pStyle w:val="afc"/>
        <w:widowControl w:val="0"/>
        <w:numPr>
          <w:ilvl w:val="1"/>
          <w:numId w:val="4"/>
        </w:numPr>
        <w:spacing w:before="60" w:after="60" w:line="240" w:lineRule="auto"/>
        <w:jc w:val="both"/>
        <w:outlineLvl w:val="1"/>
        <w:rPr>
          <w:rFonts w:ascii="Times New Roman" w:hAnsi="Times New Roman"/>
          <w:sz w:val="24"/>
          <w:szCs w:val="24"/>
        </w:rPr>
      </w:pPr>
      <w:r>
        <w:rPr>
          <w:rFonts w:ascii="Times New Roman" w:hAnsi="Times New Roman"/>
          <w:b/>
          <w:sz w:val="24"/>
          <w:szCs w:val="24"/>
        </w:rPr>
        <w:t>Справедливая стоимость драгоценных металлов и требований к кредитной организации</w:t>
      </w:r>
      <w:r>
        <w:rPr>
          <w:rFonts w:ascii="Times New Roman" w:hAnsi="Times New Roman"/>
          <w:sz w:val="24"/>
          <w:szCs w:val="24"/>
        </w:rPr>
        <w:t xml:space="preserve"> выплатить денежный эквивалент драгоценных металлов определяется  по ценам London Metal Exchange (LMAUDY LME Comdty для золота, PLDMLNPM Index для палладия, PLTMLNPM Index</w:t>
      </w:r>
      <w:r>
        <w:rPr>
          <w:rFonts w:ascii="Times New Roman" w:hAnsi="Times New Roman"/>
          <w:bCs/>
          <w:sz w:val="24"/>
          <w:szCs w:val="24"/>
          <w:shd w:val="clear" w:color="auto" w:fill="FFFFFF"/>
        </w:rPr>
        <w:t xml:space="preserve">  для платины, </w:t>
      </w:r>
      <w:r>
        <w:rPr>
          <w:rFonts w:ascii="Times New Roman" w:hAnsi="Times New Roman"/>
          <w:sz w:val="24"/>
          <w:szCs w:val="24"/>
        </w:rPr>
        <w:t>LMAGDY LME для серебра) в случае, если у управляющей компании есть доступ к данному рынку, исходя из принадлежащей фонду массы драгоценных металлов или объема требований к кредитной организации выплатить денежный эквивалент драгоценных металлов. Цены London Metal Exchange за одну тройскую унцию переводятся в цену за грамм путем деления на 31,1034768 и приведения к рублю по курсу, установленному настоящими Правилами определения СЧА для конвертации стоимостей, выраженных в одной валюте, в другую валюту.</w:t>
      </w:r>
    </w:p>
    <w:p w14:paraId="6903B761" w14:textId="77777777" w:rsidR="000C1E0E" w:rsidRDefault="000C1E0E" w:rsidP="000C1E0E">
      <w:pPr>
        <w:widowControl w:val="0"/>
        <w:spacing w:before="60" w:after="60" w:line="240" w:lineRule="auto"/>
        <w:ind w:left="709"/>
        <w:outlineLvl w:val="1"/>
        <w:rPr>
          <w:rFonts w:ascii="Times New Roman" w:hAnsi="Times New Roman"/>
          <w:sz w:val="24"/>
          <w:szCs w:val="24"/>
        </w:rPr>
      </w:pPr>
      <w:r>
        <w:rPr>
          <w:rFonts w:ascii="Times New Roman" w:hAnsi="Times New Roman"/>
          <w:sz w:val="24"/>
          <w:szCs w:val="24"/>
        </w:rPr>
        <w:t>При отсутствии доступа к London Metal Exchange или отсутствии цены на дату определения СЧА на London Metal Exchange справедливая стоимость драгоценных металлов и требований к кредитной организации выплатить денежный эквивалент драгоценных металлов рассчитывается на дату определения СЧА по ценам Банка России.</w:t>
      </w:r>
    </w:p>
    <w:p w14:paraId="4E9EF0BC" w14:textId="77777777" w:rsidR="000C1E0E" w:rsidRDefault="000C1E0E" w:rsidP="000C1E0E">
      <w:pPr>
        <w:widowControl w:val="0"/>
        <w:spacing w:before="60" w:after="60" w:line="240" w:lineRule="auto"/>
        <w:ind w:left="709"/>
        <w:outlineLvl w:val="1"/>
        <w:rPr>
          <w:rFonts w:ascii="Times New Roman" w:hAnsi="Times New Roman"/>
          <w:sz w:val="24"/>
          <w:szCs w:val="24"/>
        </w:rPr>
      </w:pPr>
      <w:r>
        <w:rPr>
          <w:rFonts w:ascii="Times New Roman" w:hAnsi="Times New Roman"/>
          <w:sz w:val="24"/>
          <w:szCs w:val="24"/>
        </w:rPr>
        <w:t>Справедливая стоимость требований к кредитной организации выплатить денежный эквивалент драгоценных металлов корректируется в соответствии с порядком, указанным в п. 3.13. настоящих Правил.</w:t>
      </w:r>
    </w:p>
    <w:p w14:paraId="428636BC" w14:textId="77777777" w:rsidR="000C1E0E" w:rsidRDefault="000C1E0E" w:rsidP="000C1E0E">
      <w:pPr>
        <w:widowControl w:val="0"/>
        <w:numPr>
          <w:ilvl w:val="1"/>
          <w:numId w:val="4"/>
        </w:numPr>
        <w:spacing w:before="60" w:after="60" w:line="240" w:lineRule="auto"/>
        <w:outlineLvl w:val="1"/>
        <w:rPr>
          <w:rFonts w:ascii="Times New Roman" w:hAnsi="Times New Roman"/>
          <w:b/>
          <w:sz w:val="24"/>
          <w:szCs w:val="24"/>
        </w:rPr>
      </w:pPr>
      <w:r>
        <w:rPr>
          <w:rFonts w:ascii="Times New Roman" w:hAnsi="Times New Roman"/>
          <w:b/>
          <w:sz w:val="24"/>
          <w:szCs w:val="24"/>
        </w:rPr>
        <w:t>Порядок оценки дебиторской задолженности.</w:t>
      </w:r>
    </w:p>
    <w:p w14:paraId="31EEAD5A" w14:textId="77777777" w:rsidR="000C1E0E" w:rsidRDefault="000C1E0E" w:rsidP="000C1E0E">
      <w:pPr>
        <w:widowControl w:val="0"/>
        <w:numPr>
          <w:ilvl w:val="2"/>
          <w:numId w:val="4"/>
        </w:numPr>
        <w:spacing w:before="60" w:after="60" w:line="240" w:lineRule="auto"/>
        <w:outlineLvl w:val="1"/>
        <w:rPr>
          <w:rFonts w:ascii="Times New Roman" w:hAnsi="Times New Roman"/>
          <w:sz w:val="24"/>
          <w:szCs w:val="24"/>
        </w:rPr>
      </w:pPr>
      <w:r>
        <w:rPr>
          <w:rFonts w:ascii="Times New Roman" w:hAnsi="Times New Roman"/>
          <w:b/>
          <w:sz w:val="24"/>
          <w:szCs w:val="24"/>
        </w:rPr>
        <w:t xml:space="preserve">Справедливая стоимость дебиторской задолженности по процентному (купонному) доходу </w:t>
      </w:r>
      <w:r>
        <w:rPr>
          <w:rFonts w:ascii="Times New Roman" w:hAnsi="Times New Roman"/>
          <w:sz w:val="24"/>
          <w:szCs w:val="24"/>
        </w:rPr>
        <w:t>по составляющим активы Фонда долговым ценным бумагам определяется в размере, определенном на дату наступления срока исполнения соответствующего обязательства (дату истечения купонного периода) в соответствии с условиями выпуска ценной бумаги, и исходя из количества ценных бумаг на дату наступления указанного срока с указанной даты до наступления наиболее ранней из дат:</w:t>
      </w:r>
    </w:p>
    <w:p w14:paraId="2C7D347B" w14:textId="77777777" w:rsidR="000C1E0E" w:rsidRDefault="000C1E0E" w:rsidP="000C1E0E">
      <w:pPr>
        <w:widowControl w:val="0"/>
        <w:spacing w:before="60" w:after="60" w:line="240" w:lineRule="auto"/>
        <w:ind w:left="709"/>
        <w:rPr>
          <w:rFonts w:ascii="Times New Roman" w:hAnsi="Times New Roman"/>
          <w:sz w:val="24"/>
          <w:szCs w:val="24"/>
        </w:rPr>
      </w:pPr>
      <w:r>
        <w:rPr>
          <w:rFonts w:ascii="Times New Roman" w:hAnsi="Times New Roman"/>
          <w:sz w:val="24"/>
          <w:szCs w:val="24"/>
        </w:rPr>
        <w:t>- фактического исполнения эмитентом соответствующего обязательства;</w:t>
      </w:r>
    </w:p>
    <w:p w14:paraId="5A5323E8" w14:textId="77777777" w:rsidR="000C1E0E" w:rsidRDefault="000C1E0E" w:rsidP="000C1E0E">
      <w:pPr>
        <w:widowControl w:val="0"/>
        <w:spacing w:before="60" w:after="60" w:line="240" w:lineRule="auto"/>
        <w:ind w:left="709"/>
        <w:rPr>
          <w:rFonts w:ascii="Times New Roman" w:hAnsi="Times New Roman"/>
          <w:sz w:val="24"/>
          <w:szCs w:val="24"/>
        </w:rPr>
      </w:pPr>
      <w:r>
        <w:rPr>
          <w:rFonts w:ascii="Times New Roman" w:hAnsi="Times New Roman"/>
          <w:sz w:val="24"/>
          <w:szCs w:val="24"/>
        </w:rPr>
        <w:t>-  истечения 7-ми рабочих дней с даты наступления срока исполнения обязательства российским эмитентом, 10-ти рабочих дней с даты наступления срока исполнения обязательства иностранным эмитентом;</w:t>
      </w:r>
    </w:p>
    <w:p w14:paraId="42955139" w14:textId="77777777" w:rsidR="000C1E0E" w:rsidRDefault="000C1E0E" w:rsidP="000C1E0E">
      <w:pPr>
        <w:widowControl w:val="0"/>
        <w:spacing w:before="60" w:after="60" w:line="240" w:lineRule="auto"/>
        <w:ind w:left="709"/>
        <w:rPr>
          <w:rFonts w:ascii="Times New Roman" w:hAnsi="Times New Roman"/>
          <w:sz w:val="24"/>
          <w:szCs w:val="24"/>
        </w:rPr>
      </w:pPr>
      <w:r>
        <w:rPr>
          <w:rFonts w:ascii="Times New Roman" w:hAnsi="Times New Roman"/>
          <w:sz w:val="24"/>
          <w:szCs w:val="24"/>
        </w:rPr>
        <w:t>Дебиторская задолженность корректируется в соответствии с порядком, указанным в п. 3.13. настоящих Правил.</w:t>
      </w:r>
    </w:p>
    <w:p w14:paraId="7559DEA8" w14:textId="77777777" w:rsidR="000C1E0E" w:rsidRDefault="000C1E0E" w:rsidP="000C1E0E">
      <w:pPr>
        <w:widowControl w:val="0"/>
        <w:numPr>
          <w:ilvl w:val="2"/>
          <w:numId w:val="4"/>
        </w:numPr>
        <w:spacing w:before="60" w:after="60" w:line="240" w:lineRule="auto"/>
        <w:outlineLvl w:val="1"/>
        <w:rPr>
          <w:rFonts w:ascii="Times New Roman" w:hAnsi="Times New Roman"/>
          <w:sz w:val="24"/>
          <w:szCs w:val="24"/>
        </w:rPr>
      </w:pPr>
      <w:r>
        <w:rPr>
          <w:rFonts w:ascii="Times New Roman" w:hAnsi="Times New Roman"/>
          <w:b/>
          <w:sz w:val="24"/>
          <w:szCs w:val="24"/>
        </w:rPr>
        <w:t>Справедливая стоимость дебиторской задолженности по частичному/полному погашению эмитентом основного долга по долговым ценным бумагам</w:t>
      </w:r>
      <w:r>
        <w:rPr>
          <w:rFonts w:ascii="Times New Roman" w:hAnsi="Times New Roman"/>
          <w:sz w:val="24"/>
          <w:szCs w:val="24"/>
        </w:rPr>
        <w:t xml:space="preserve"> определяется в размере, определенном на дату наступления срока исполнения соответствующего обязательства в соответствии с условиями выпуска ценной бумаги, и исходя из количества ценных бумаг на дату наступления указанного срока - с указанной даты до наступления наиболее ранней из дат:</w:t>
      </w:r>
    </w:p>
    <w:p w14:paraId="13BFC2E7" w14:textId="77777777" w:rsidR="000C1E0E" w:rsidRDefault="000C1E0E" w:rsidP="000C1E0E">
      <w:pPr>
        <w:widowControl w:val="0"/>
        <w:spacing w:before="60" w:after="60" w:line="240" w:lineRule="auto"/>
        <w:ind w:left="709"/>
        <w:rPr>
          <w:rFonts w:ascii="Times New Roman" w:hAnsi="Times New Roman"/>
          <w:sz w:val="24"/>
          <w:szCs w:val="24"/>
        </w:rPr>
      </w:pPr>
      <w:r>
        <w:rPr>
          <w:rFonts w:ascii="Times New Roman" w:hAnsi="Times New Roman"/>
          <w:sz w:val="24"/>
          <w:szCs w:val="24"/>
        </w:rPr>
        <w:t>- фактического исполнения эмитентом обязательства;</w:t>
      </w:r>
    </w:p>
    <w:p w14:paraId="3EA4D2BD" w14:textId="77777777" w:rsidR="000C1E0E" w:rsidRDefault="000C1E0E" w:rsidP="000C1E0E">
      <w:pPr>
        <w:widowControl w:val="0"/>
        <w:spacing w:before="60" w:after="60" w:line="240" w:lineRule="auto"/>
        <w:ind w:left="709"/>
        <w:rPr>
          <w:rFonts w:ascii="Times New Roman" w:hAnsi="Times New Roman"/>
          <w:sz w:val="24"/>
          <w:szCs w:val="24"/>
        </w:rPr>
      </w:pPr>
      <w:r>
        <w:rPr>
          <w:rFonts w:ascii="Times New Roman" w:hAnsi="Times New Roman"/>
          <w:sz w:val="24"/>
          <w:szCs w:val="24"/>
        </w:rPr>
        <w:t>- по истечению 7-ми рабочих дней с даты наступления срока исполнения обязательства российским эмитентом, 10-ти рабочих дней с даты наступления срока исполнения обязательства иностранным эмитентом</w:t>
      </w:r>
    </w:p>
    <w:p w14:paraId="543566B0" w14:textId="77777777" w:rsidR="000C1E0E" w:rsidRDefault="000C1E0E" w:rsidP="000C1E0E">
      <w:pPr>
        <w:widowControl w:val="0"/>
        <w:spacing w:before="60" w:after="60" w:line="240" w:lineRule="auto"/>
        <w:ind w:left="709"/>
        <w:rPr>
          <w:rFonts w:ascii="Times New Roman" w:hAnsi="Times New Roman"/>
          <w:sz w:val="24"/>
          <w:szCs w:val="24"/>
        </w:rPr>
      </w:pPr>
      <w:r>
        <w:rPr>
          <w:rFonts w:ascii="Times New Roman" w:hAnsi="Times New Roman"/>
          <w:sz w:val="24"/>
          <w:szCs w:val="24"/>
        </w:rPr>
        <w:t>Дебиторская задолженность корректируется в соответствии с порядком, указанным в п.3.13. настоящих Правил.</w:t>
      </w:r>
    </w:p>
    <w:p w14:paraId="1FB15976" w14:textId="77777777" w:rsidR="000C1E0E" w:rsidRDefault="000C1E0E" w:rsidP="000C1E0E">
      <w:pPr>
        <w:widowControl w:val="0"/>
        <w:numPr>
          <w:ilvl w:val="2"/>
          <w:numId w:val="4"/>
        </w:numPr>
        <w:spacing w:before="60" w:after="60" w:line="240" w:lineRule="auto"/>
        <w:ind w:left="709"/>
        <w:outlineLvl w:val="1"/>
        <w:rPr>
          <w:rFonts w:ascii="Times New Roman" w:hAnsi="Times New Roman"/>
          <w:sz w:val="24"/>
          <w:szCs w:val="24"/>
        </w:rPr>
      </w:pPr>
      <w:r>
        <w:rPr>
          <w:rFonts w:ascii="Times New Roman" w:hAnsi="Times New Roman"/>
          <w:b/>
          <w:sz w:val="24"/>
          <w:szCs w:val="24"/>
        </w:rPr>
        <w:t>Справедливая стоимость дебиторской задолженности по выплате дивидендов по акциям, дохода по депозитарным распискам, паям паевых инвестиционных фондов и паев (акций) иностранных инвестиционных фондов</w:t>
      </w:r>
      <w:r>
        <w:rPr>
          <w:rFonts w:ascii="Times New Roman" w:hAnsi="Times New Roman"/>
          <w:sz w:val="24"/>
          <w:szCs w:val="24"/>
        </w:rPr>
        <w:t xml:space="preserve"> определяется исходя из количества акций/депозитарных расписок/паев паевых инвестиционных фондов/паев (акций) иностранных инвестиционных фондов, учтенных на счете депо Фонда на дату, на которую определяются лица, имеющие право на получение дивиденда (дохода) и объявленного размера дивиденда (дохода), приходящегося на одну акцию (депозитарную расписку, пай паевого инвестиционного фонда или пай (акцию) иностранного инвестиционного фонда) соответствующей категории (типа) Дебиторская задолженность корректируется в соответствии с порядком, указанным в п. 3.13. настоящих Правил.</w:t>
      </w:r>
    </w:p>
    <w:p w14:paraId="71C1D071" w14:textId="77777777" w:rsidR="000C1E0E" w:rsidRDefault="000C1E0E" w:rsidP="000C1E0E">
      <w:pPr>
        <w:widowControl w:val="0"/>
        <w:numPr>
          <w:ilvl w:val="2"/>
          <w:numId w:val="4"/>
        </w:numPr>
        <w:spacing w:before="60" w:after="60" w:line="240" w:lineRule="auto"/>
        <w:ind w:left="708"/>
        <w:outlineLvl w:val="1"/>
        <w:rPr>
          <w:rFonts w:ascii="Times New Roman" w:hAnsi="Times New Roman"/>
          <w:sz w:val="24"/>
          <w:szCs w:val="24"/>
        </w:rPr>
      </w:pPr>
      <w:r>
        <w:rPr>
          <w:rFonts w:ascii="Times New Roman" w:hAnsi="Times New Roman"/>
          <w:b/>
          <w:sz w:val="24"/>
          <w:szCs w:val="24"/>
        </w:rPr>
        <w:t>Справедливая стоимость прочей дебиторской задолженности определяется:</w:t>
      </w:r>
    </w:p>
    <w:p w14:paraId="33667151" w14:textId="77777777" w:rsidR="000C1E0E" w:rsidRDefault="000C1E0E" w:rsidP="000C1E0E">
      <w:pPr>
        <w:widowControl w:val="0"/>
        <w:spacing w:before="60" w:after="60" w:line="240" w:lineRule="auto"/>
        <w:ind w:left="-12" w:firstLine="720"/>
        <w:outlineLvl w:val="1"/>
        <w:rPr>
          <w:rFonts w:ascii="Times New Roman" w:hAnsi="Times New Roman"/>
          <w:sz w:val="24"/>
          <w:szCs w:val="24"/>
        </w:rPr>
      </w:pPr>
      <w:r>
        <w:rPr>
          <w:rFonts w:ascii="Times New Roman" w:hAnsi="Times New Roman"/>
          <w:sz w:val="24"/>
          <w:szCs w:val="24"/>
          <w:lang w:val="en-US"/>
        </w:rPr>
        <w:t>a</w:t>
      </w:r>
      <w:r>
        <w:rPr>
          <w:rFonts w:ascii="Times New Roman" w:hAnsi="Times New Roman"/>
          <w:sz w:val="24"/>
          <w:szCs w:val="24"/>
        </w:rPr>
        <w:t>)</w:t>
      </w:r>
      <w:r>
        <w:rPr>
          <w:rFonts w:ascii="Times New Roman" w:hAnsi="Times New Roman"/>
          <w:b/>
          <w:sz w:val="24"/>
          <w:szCs w:val="24"/>
        </w:rPr>
        <w:t xml:space="preserve"> </w:t>
      </w:r>
      <w:r>
        <w:rPr>
          <w:rFonts w:ascii="Times New Roman" w:hAnsi="Times New Roman"/>
          <w:sz w:val="24"/>
          <w:szCs w:val="24"/>
        </w:rPr>
        <w:t>в сумме остатка дебиторской задолженности на дату определения СЧА:</w:t>
      </w:r>
    </w:p>
    <w:p w14:paraId="7C160A69" w14:textId="77777777" w:rsidR="000C1E0E" w:rsidRDefault="000C1E0E" w:rsidP="000C1E0E">
      <w:pPr>
        <w:widowControl w:val="0"/>
        <w:spacing w:before="60" w:after="60" w:line="240" w:lineRule="auto"/>
        <w:ind w:left="708"/>
        <w:outlineLvl w:val="1"/>
        <w:rPr>
          <w:rFonts w:ascii="Times New Roman" w:hAnsi="Times New Roman"/>
          <w:sz w:val="24"/>
          <w:szCs w:val="24"/>
        </w:rPr>
      </w:pPr>
      <w:r>
        <w:rPr>
          <w:rFonts w:ascii="Times New Roman" w:hAnsi="Times New Roman"/>
          <w:sz w:val="24"/>
          <w:szCs w:val="24"/>
        </w:rPr>
        <w:t>- если договором предусмотрено полное погашение задолженности в течение 1 года с момента ее признания до истечения срока полного погашения;</w:t>
      </w:r>
    </w:p>
    <w:p w14:paraId="749A641D" w14:textId="77777777" w:rsidR="000C1E0E" w:rsidRDefault="000C1E0E" w:rsidP="000C1E0E">
      <w:pPr>
        <w:widowControl w:val="0"/>
        <w:spacing w:before="60" w:after="60" w:line="240" w:lineRule="auto"/>
        <w:ind w:left="709"/>
        <w:rPr>
          <w:rFonts w:ascii="Times New Roman" w:hAnsi="Times New Roman"/>
          <w:sz w:val="24"/>
          <w:szCs w:val="24"/>
        </w:rPr>
      </w:pPr>
      <w:r>
        <w:rPr>
          <w:rFonts w:ascii="Times New Roman" w:hAnsi="Times New Roman"/>
          <w:sz w:val="24"/>
          <w:szCs w:val="24"/>
        </w:rPr>
        <w:t>- для авансов, выданных за счет имущества Фонда, если договором предусмотрено полное погашение задолженности в течение 1 (одного) года с момента ее признания до истечения срока полного погашения;</w:t>
      </w:r>
    </w:p>
    <w:p w14:paraId="61FFA40B" w14:textId="77777777" w:rsidR="000C1E0E" w:rsidRDefault="000C1E0E" w:rsidP="000C1E0E">
      <w:pPr>
        <w:widowControl w:val="0"/>
        <w:spacing w:before="60" w:after="60" w:line="240" w:lineRule="auto"/>
        <w:ind w:left="709"/>
        <w:rPr>
          <w:rFonts w:ascii="Times New Roman" w:hAnsi="Times New Roman"/>
          <w:sz w:val="24"/>
          <w:szCs w:val="24"/>
        </w:rPr>
      </w:pPr>
      <w:r>
        <w:rPr>
          <w:rFonts w:ascii="Times New Roman" w:hAnsi="Times New Roman"/>
          <w:sz w:val="24"/>
          <w:szCs w:val="24"/>
        </w:rPr>
        <w:t>- для дебиторской задолженности по налогам, сборам, пошлинам в бюджеты всех уровней;</w:t>
      </w:r>
    </w:p>
    <w:p w14:paraId="27452F69" w14:textId="77777777" w:rsidR="000C1E0E" w:rsidRDefault="000C1E0E" w:rsidP="000C1E0E">
      <w:pPr>
        <w:widowControl w:val="0"/>
        <w:spacing w:before="60" w:after="60" w:line="240" w:lineRule="auto"/>
        <w:ind w:left="709"/>
        <w:rPr>
          <w:rFonts w:ascii="Times New Roman" w:hAnsi="Times New Roman"/>
          <w:sz w:val="24"/>
          <w:szCs w:val="24"/>
        </w:rPr>
      </w:pPr>
      <w:r>
        <w:rPr>
          <w:rFonts w:ascii="Times New Roman" w:hAnsi="Times New Roman"/>
          <w:sz w:val="24"/>
          <w:szCs w:val="24"/>
        </w:rPr>
        <w:t>- для дебиторской задолженности Управляющей компании перед Фондом, независимо от оснований ее признания;</w:t>
      </w:r>
    </w:p>
    <w:p w14:paraId="24389AD3" w14:textId="77777777" w:rsidR="000C1E0E" w:rsidRDefault="000C1E0E" w:rsidP="000C1E0E">
      <w:pPr>
        <w:widowControl w:val="0"/>
        <w:spacing w:before="60" w:after="60" w:line="240" w:lineRule="auto"/>
        <w:ind w:left="709"/>
        <w:rPr>
          <w:rFonts w:ascii="Times New Roman" w:hAnsi="Times New Roman"/>
          <w:sz w:val="24"/>
          <w:szCs w:val="24"/>
        </w:rPr>
      </w:pPr>
      <w:r>
        <w:rPr>
          <w:rFonts w:ascii="Times New Roman" w:hAnsi="Times New Roman"/>
          <w:sz w:val="24"/>
          <w:szCs w:val="24"/>
        </w:rPr>
        <w:t>- для дебиторской задолженности, возникшей по договорам с аудиторской организацией, специализированным депозитарием, регистратором, указанными в Правилах доверительного управления Фондом;</w:t>
      </w:r>
    </w:p>
    <w:p w14:paraId="2A9855AA" w14:textId="77777777" w:rsidR="000C1E0E" w:rsidRDefault="000C1E0E" w:rsidP="000C1E0E">
      <w:pPr>
        <w:widowControl w:val="0"/>
        <w:spacing w:before="60" w:after="60" w:line="240" w:lineRule="auto"/>
        <w:ind w:left="709"/>
        <w:rPr>
          <w:rFonts w:ascii="Times New Roman" w:hAnsi="Times New Roman"/>
          <w:sz w:val="24"/>
          <w:szCs w:val="24"/>
        </w:rPr>
      </w:pPr>
      <w:r>
        <w:rPr>
          <w:rFonts w:ascii="Times New Roman" w:hAnsi="Times New Roman"/>
          <w:sz w:val="24"/>
          <w:szCs w:val="24"/>
        </w:rPr>
        <w:t>- для дебиторской задолженности по возмещению суммы налогов из бюджета Российской Федерации.</w:t>
      </w:r>
    </w:p>
    <w:p w14:paraId="311B1966" w14:textId="32AB3AD6" w:rsidR="000C1E0E" w:rsidRDefault="000C1E0E" w:rsidP="000C1E0E">
      <w:pPr>
        <w:widowControl w:val="0"/>
        <w:spacing w:before="60" w:after="60" w:line="240" w:lineRule="auto"/>
        <w:ind w:left="709"/>
        <w:rPr>
          <w:rFonts w:ascii="Times New Roman" w:hAnsi="Times New Roman"/>
          <w:sz w:val="24"/>
          <w:szCs w:val="24"/>
        </w:rPr>
      </w:pPr>
      <w:r>
        <w:rPr>
          <w:rFonts w:ascii="Times New Roman" w:hAnsi="Times New Roman"/>
          <w:sz w:val="24"/>
          <w:szCs w:val="24"/>
          <w:lang w:val="en-US"/>
        </w:rPr>
        <w:t>b</w:t>
      </w:r>
      <w:r w:rsidR="00E06251">
        <w:rPr>
          <w:rFonts w:ascii="Times New Roman" w:hAnsi="Times New Roman"/>
          <w:sz w:val="24"/>
          <w:szCs w:val="24"/>
        </w:rPr>
        <w:t xml:space="preserve">) в </w:t>
      </w:r>
      <w:r>
        <w:rPr>
          <w:rFonts w:ascii="Times New Roman" w:hAnsi="Times New Roman"/>
          <w:sz w:val="24"/>
          <w:szCs w:val="24"/>
        </w:rPr>
        <w:t>сумме, определенной с использованием метода приведенной стоимости будущих денежных потоков (п.3.17 настоящих Правил), в иных случаях.</w:t>
      </w:r>
    </w:p>
    <w:p w14:paraId="52FADA61" w14:textId="55CBB376" w:rsidR="008552F2" w:rsidRDefault="000C1E0E" w:rsidP="008552F2">
      <w:pPr>
        <w:widowControl w:val="0"/>
        <w:spacing w:before="60" w:after="60" w:line="240" w:lineRule="auto"/>
        <w:ind w:left="720"/>
        <w:outlineLvl w:val="1"/>
        <w:rPr>
          <w:rFonts w:ascii="Times New Roman" w:hAnsi="Times New Roman"/>
          <w:sz w:val="24"/>
          <w:szCs w:val="24"/>
        </w:rPr>
      </w:pPr>
      <w:r>
        <w:rPr>
          <w:rFonts w:ascii="Times New Roman" w:eastAsia="Batang" w:hAnsi="Times New Roman"/>
          <w:sz w:val="24"/>
          <w:szCs w:val="24"/>
        </w:rPr>
        <w:t>Справедливая стоимость дебиторской задолженности, возникшей в результате совершения сделок с имуществом Фонда, определяется в соответствии с порядком корректировки справедливой стоимости согласно п.</w:t>
      </w:r>
      <w:r>
        <w:rPr>
          <w:rFonts w:ascii="Times New Roman" w:hAnsi="Times New Roman"/>
          <w:sz w:val="24"/>
          <w:szCs w:val="24"/>
        </w:rPr>
        <w:t xml:space="preserve"> 3.13. настоящих Правил</w:t>
      </w:r>
      <w:r>
        <w:rPr>
          <w:rFonts w:ascii="Times New Roman" w:eastAsia="Batang" w:hAnsi="Times New Roman"/>
          <w:sz w:val="24"/>
          <w:szCs w:val="24"/>
        </w:rPr>
        <w:t>.</w:t>
      </w:r>
    </w:p>
    <w:p w14:paraId="5754A7B1" w14:textId="77777777" w:rsidR="000C1E0E" w:rsidRDefault="000C1E0E" w:rsidP="000C1E0E">
      <w:pPr>
        <w:widowControl w:val="0"/>
        <w:numPr>
          <w:ilvl w:val="2"/>
          <w:numId w:val="4"/>
        </w:numPr>
        <w:spacing w:before="60" w:after="60" w:line="240" w:lineRule="auto"/>
        <w:outlineLvl w:val="1"/>
        <w:rPr>
          <w:rFonts w:ascii="Times New Roman" w:hAnsi="Times New Roman"/>
          <w:sz w:val="24"/>
          <w:szCs w:val="24"/>
        </w:rPr>
      </w:pPr>
      <w:r>
        <w:rPr>
          <w:rFonts w:ascii="Times New Roman" w:hAnsi="Times New Roman"/>
          <w:sz w:val="24"/>
          <w:szCs w:val="24"/>
        </w:rPr>
        <w:t>Справедливой стоимостью дебиторской задолженности, возникшей в результате осуществления сделок с активами Фонда, признается стоимость актива, определенная договором (стандартными условиями сделки) в случае передачи актива, или сумма переданных денежных средств в случае покупки актива.</w:t>
      </w:r>
    </w:p>
    <w:p w14:paraId="65B210FB" w14:textId="77777777" w:rsidR="000C1E0E" w:rsidRDefault="000C1E0E" w:rsidP="000C1E0E">
      <w:pPr>
        <w:widowControl w:val="0"/>
        <w:spacing w:before="60" w:after="60" w:line="240" w:lineRule="auto"/>
        <w:ind w:left="720"/>
        <w:outlineLvl w:val="1"/>
        <w:rPr>
          <w:rFonts w:ascii="Times New Roman" w:hAnsi="Times New Roman"/>
          <w:sz w:val="24"/>
          <w:szCs w:val="24"/>
        </w:rPr>
      </w:pPr>
      <w:r>
        <w:rPr>
          <w:rFonts w:ascii="Times New Roman" w:hAnsi="Times New Roman"/>
          <w:sz w:val="24"/>
          <w:szCs w:val="24"/>
        </w:rPr>
        <w:t xml:space="preserve">Справедливой стоимостью дебиторской задолженности брокера по денежным средствам, находящимся на брокерском счете, признается остаток денежных средств на конец дня после совершения всех операций с активами Фонда. Величина дебиторской задолженности брокера должна совпадать с суммой денежных средств, оставшихся в распоряжении брокера на основании Отчета брокера, составленного за день, на который определяется стоимость чистых активов. Справедливая стоимость дебиторской задолженности брокера признается равной 0 (ноль) в случае признания брокера банкротом с даты официального сообщения о банкротстве. </w:t>
      </w:r>
    </w:p>
    <w:p w14:paraId="7B426BA9" w14:textId="5FF73964" w:rsidR="000C1E0E" w:rsidRDefault="000C1E0E" w:rsidP="000C1E0E">
      <w:pPr>
        <w:widowControl w:val="0"/>
        <w:numPr>
          <w:ilvl w:val="2"/>
          <w:numId w:val="4"/>
        </w:numPr>
        <w:spacing w:before="60" w:after="60" w:line="240" w:lineRule="auto"/>
        <w:outlineLvl w:val="1"/>
        <w:rPr>
          <w:rFonts w:ascii="Times New Roman" w:hAnsi="Times New Roman"/>
          <w:sz w:val="24"/>
          <w:szCs w:val="24"/>
        </w:rPr>
      </w:pPr>
      <w:r>
        <w:rPr>
          <w:rFonts w:ascii="Times New Roman" w:hAnsi="Times New Roman"/>
          <w:sz w:val="24"/>
          <w:szCs w:val="24"/>
        </w:rPr>
        <w:t>Справедливой стоимостью дебиторской задолженности по причитающимся к получению дивидендам признается сумма, исчисленная исходя из количества ценных бумаг, учтенных по счету депо в Специализированном депозитарии на дату, на которую определяются лица, имеющие право на получение дивидендов, и размера дивидендов по данной категории (типу) акций, объявленных эмитентов.</w:t>
      </w:r>
    </w:p>
    <w:p w14:paraId="3E29239D" w14:textId="77777777" w:rsidR="000C1E0E" w:rsidRDefault="000C1E0E" w:rsidP="000C1E0E">
      <w:pPr>
        <w:widowControl w:val="0"/>
        <w:numPr>
          <w:ilvl w:val="1"/>
          <w:numId w:val="4"/>
        </w:numPr>
        <w:spacing w:before="60" w:after="60" w:line="240" w:lineRule="auto"/>
        <w:outlineLvl w:val="1"/>
        <w:rPr>
          <w:rFonts w:ascii="Times New Roman" w:hAnsi="Times New Roman"/>
          <w:b/>
          <w:sz w:val="24"/>
          <w:szCs w:val="24"/>
        </w:rPr>
      </w:pPr>
      <w:r>
        <w:rPr>
          <w:rFonts w:ascii="Times New Roman" w:hAnsi="Times New Roman"/>
          <w:b/>
          <w:sz w:val="24"/>
          <w:szCs w:val="24"/>
        </w:rPr>
        <w:t xml:space="preserve">Метод оценки по приведенной стоимости будущих денежных потоков </w:t>
      </w:r>
    </w:p>
    <w:p w14:paraId="4B480332" w14:textId="77777777" w:rsidR="000C1E0E" w:rsidRDefault="000C1E0E" w:rsidP="000C1E0E">
      <w:pPr>
        <w:widowControl w:val="0"/>
        <w:numPr>
          <w:ilvl w:val="2"/>
          <w:numId w:val="4"/>
        </w:numPr>
        <w:spacing w:before="60" w:after="60" w:line="240" w:lineRule="auto"/>
        <w:outlineLvl w:val="1"/>
        <w:rPr>
          <w:rFonts w:ascii="Times New Roman" w:hAnsi="Times New Roman"/>
          <w:sz w:val="24"/>
          <w:szCs w:val="24"/>
        </w:rPr>
      </w:pPr>
      <w:r>
        <w:rPr>
          <w:rFonts w:ascii="Times New Roman" w:hAnsi="Times New Roman"/>
          <w:sz w:val="24"/>
          <w:szCs w:val="24"/>
        </w:rPr>
        <w:t>Приведенная стоимость будущих денежных потоков рассчитывается по формуле:</w:t>
      </w:r>
    </w:p>
    <w:p w14:paraId="24AF61BE" w14:textId="77777777" w:rsidR="000C1E0E" w:rsidRDefault="000C1E0E" w:rsidP="000C1E0E">
      <w:pPr>
        <w:pStyle w:val="12"/>
        <w:tabs>
          <w:tab w:val="left" w:pos="993"/>
        </w:tabs>
        <w:spacing w:before="120" w:line="276" w:lineRule="auto"/>
        <w:ind w:left="1276"/>
        <w:jc w:val="both"/>
        <w:rPr>
          <w:rFonts w:eastAsia="Batang"/>
          <w:szCs w:val="24"/>
        </w:rPr>
      </w:pPr>
      <w:r>
        <w:rPr>
          <w:rFonts w:eastAsia="Batang"/>
          <w:szCs w:val="24"/>
        </w:rPr>
        <w:object w:dxaOrig="2115" w:dyaOrig="705" w14:anchorId="053E6D28">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05.5pt;height:35.15pt" o:ole="">
            <v:imagedata r:id="rId21" o:title=""/>
          </v:shape>
          <o:OLEObject Type="Embed" ProgID="Equation.3" ShapeID="_x0000_i1025" DrawAspect="Content" ObjectID="_1685875195" r:id="rId22"/>
        </w:object>
      </w:r>
    </w:p>
    <w:p w14:paraId="774581EC" w14:textId="77777777" w:rsidR="000C1E0E" w:rsidRDefault="000C1E0E" w:rsidP="000C1E0E">
      <w:pPr>
        <w:widowControl w:val="0"/>
        <w:spacing w:before="60" w:after="60" w:line="240" w:lineRule="auto"/>
        <w:ind w:left="720"/>
        <w:outlineLvl w:val="1"/>
        <w:rPr>
          <w:rFonts w:ascii="Times New Roman" w:hAnsi="Times New Roman"/>
          <w:sz w:val="24"/>
          <w:szCs w:val="24"/>
        </w:rPr>
      </w:pPr>
      <w:r>
        <w:rPr>
          <w:rFonts w:ascii="Times New Roman" w:hAnsi="Times New Roman"/>
          <w:sz w:val="24"/>
          <w:szCs w:val="24"/>
        </w:rPr>
        <w:t>PV – справедливая стоимость актива (обязательства);</w:t>
      </w:r>
    </w:p>
    <w:p w14:paraId="40963B03" w14:textId="77777777" w:rsidR="000C1E0E" w:rsidRDefault="000C1E0E" w:rsidP="000C1E0E">
      <w:pPr>
        <w:widowControl w:val="0"/>
        <w:spacing w:before="60" w:after="60" w:line="240" w:lineRule="auto"/>
        <w:ind w:left="720"/>
        <w:outlineLvl w:val="1"/>
        <w:rPr>
          <w:rFonts w:ascii="Times New Roman" w:hAnsi="Times New Roman"/>
          <w:sz w:val="24"/>
          <w:szCs w:val="24"/>
        </w:rPr>
      </w:pPr>
      <w:r>
        <w:rPr>
          <w:rFonts w:ascii="Times New Roman" w:hAnsi="Times New Roman"/>
          <w:sz w:val="24"/>
          <w:szCs w:val="24"/>
        </w:rPr>
        <w:t>N - количество денежных потоков до даты погашения актива (обязательства), начиная с даты определения СЧА;</w:t>
      </w:r>
    </w:p>
    <w:p w14:paraId="5E62BABA" w14:textId="77777777" w:rsidR="000C1E0E" w:rsidRDefault="000C1E0E" w:rsidP="000C1E0E">
      <w:pPr>
        <w:widowControl w:val="0"/>
        <w:spacing w:before="60" w:after="60" w:line="240" w:lineRule="auto"/>
        <w:ind w:left="720"/>
        <w:outlineLvl w:val="1"/>
        <w:rPr>
          <w:rFonts w:ascii="Times New Roman" w:hAnsi="Times New Roman"/>
          <w:sz w:val="24"/>
          <w:szCs w:val="24"/>
        </w:rPr>
      </w:pPr>
      <w:r>
        <w:rPr>
          <w:rFonts w:ascii="Times New Roman" w:hAnsi="Times New Roman"/>
          <w:sz w:val="24"/>
          <w:szCs w:val="24"/>
        </w:rPr>
        <w:object w:dxaOrig="285" w:dyaOrig="375" w14:anchorId="46EE3BDF">
          <v:shape id="_x0000_i1026" type="#_x0000_t75" style="width:14.25pt;height:18.4pt" o:ole="">
            <v:imagedata r:id="rId23" o:title=""/>
          </v:shape>
          <o:OLEObject Type="Embed" ProgID="Equation.3" ShapeID="_x0000_i1026" DrawAspect="Content" ObjectID="_1685875196" r:id="rId24"/>
        </w:object>
      </w:r>
      <w:r>
        <w:rPr>
          <w:rFonts w:ascii="Times New Roman" w:hAnsi="Times New Roman"/>
          <w:sz w:val="24"/>
          <w:szCs w:val="24"/>
        </w:rPr>
        <w:t xml:space="preserve"> - сумма n-ого денежного потока (проценты и основная сумма); </w:t>
      </w:r>
    </w:p>
    <w:p w14:paraId="0CA26D35" w14:textId="77777777" w:rsidR="000C1E0E" w:rsidRDefault="000C1E0E" w:rsidP="000C1E0E">
      <w:pPr>
        <w:widowControl w:val="0"/>
        <w:spacing w:before="60" w:after="60" w:line="240" w:lineRule="auto"/>
        <w:ind w:left="720"/>
        <w:outlineLvl w:val="1"/>
        <w:rPr>
          <w:rFonts w:ascii="Times New Roman" w:hAnsi="Times New Roman"/>
          <w:sz w:val="24"/>
          <w:szCs w:val="24"/>
        </w:rPr>
      </w:pPr>
      <w:r>
        <w:rPr>
          <w:rFonts w:ascii="Times New Roman" w:hAnsi="Times New Roman"/>
          <w:sz w:val="24"/>
          <w:szCs w:val="24"/>
        </w:rPr>
        <w:t>n - порядковый номер денежного потока, начиная с даты определения СЧА;</w:t>
      </w:r>
    </w:p>
    <w:p w14:paraId="4E44327D" w14:textId="77777777" w:rsidR="000C1E0E" w:rsidRDefault="000C1E0E" w:rsidP="000C1E0E">
      <w:pPr>
        <w:widowControl w:val="0"/>
        <w:spacing w:before="60" w:after="60" w:line="240" w:lineRule="auto"/>
        <w:ind w:left="720"/>
        <w:outlineLvl w:val="1"/>
        <w:rPr>
          <w:rFonts w:ascii="Times New Roman" w:hAnsi="Times New Roman"/>
          <w:sz w:val="24"/>
          <w:szCs w:val="24"/>
        </w:rPr>
      </w:pPr>
      <w:r>
        <w:rPr>
          <w:rFonts w:ascii="Times New Roman" w:hAnsi="Times New Roman"/>
          <w:sz w:val="24"/>
          <w:szCs w:val="24"/>
        </w:rPr>
        <w:object w:dxaOrig="345" w:dyaOrig="375" w14:anchorId="3C7BB786">
          <v:shape id="_x0000_i1027" type="#_x0000_t75" style="width:17.6pt;height:18.4pt" o:ole="">
            <v:imagedata r:id="rId25" o:title=""/>
          </v:shape>
          <o:OLEObject Type="Embed" ProgID="Equation.3" ShapeID="_x0000_i1027" DrawAspect="Content" ObjectID="_1685875197" r:id="rId26"/>
        </w:object>
      </w:r>
      <w:r>
        <w:rPr>
          <w:rFonts w:ascii="Times New Roman" w:hAnsi="Times New Roman"/>
          <w:sz w:val="24"/>
          <w:szCs w:val="24"/>
        </w:rPr>
        <w:t xml:space="preserve"> - количество дней от даты определения СЧА до даты n-ого денежного потока;</w:t>
      </w:r>
    </w:p>
    <w:p w14:paraId="2951D402" w14:textId="77777777" w:rsidR="000C1E0E" w:rsidRDefault="000C1E0E" w:rsidP="000C1E0E">
      <w:pPr>
        <w:widowControl w:val="0"/>
        <w:spacing w:before="60" w:after="60" w:line="240" w:lineRule="auto"/>
        <w:ind w:left="720"/>
        <w:outlineLvl w:val="1"/>
        <w:rPr>
          <w:rFonts w:ascii="Times New Roman" w:hAnsi="Times New Roman"/>
          <w:sz w:val="24"/>
          <w:szCs w:val="24"/>
        </w:rPr>
      </w:pPr>
      <w:r>
        <w:rPr>
          <w:rFonts w:ascii="Times New Roman" w:hAnsi="Times New Roman"/>
          <w:sz w:val="24"/>
          <w:szCs w:val="24"/>
        </w:rPr>
        <w:t>r - ставка дисконтирования в процентах годовых, определенная в соответствии с настоящими Правилами.</w:t>
      </w:r>
    </w:p>
    <w:p w14:paraId="433F0819" w14:textId="45C085CA" w:rsidR="000C1E0E" w:rsidRDefault="000C1E0E" w:rsidP="000C1E0E">
      <w:pPr>
        <w:widowControl w:val="0"/>
        <w:spacing w:before="60" w:after="60" w:line="240" w:lineRule="auto"/>
        <w:ind w:left="720"/>
        <w:outlineLvl w:val="1"/>
        <w:rPr>
          <w:rFonts w:ascii="Times New Roman" w:hAnsi="Times New Roman"/>
          <w:sz w:val="24"/>
          <w:szCs w:val="24"/>
        </w:rPr>
      </w:pPr>
      <w:r>
        <w:rPr>
          <w:rFonts w:ascii="Times New Roman" w:hAnsi="Times New Roman"/>
          <w:sz w:val="24"/>
          <w:szCs w:val="24"/>
        </w:rPr>
        <w:t xml:space="preserve">Денежные потоки, включая процентный доход, рассчитываются в соответствии с условиями договора, датой денежного потока считается </w:t>
      </w:r>
      <w:r w:rsidR="005A49D2">
        <w:rPr>
          <w:rFonts w:ascii="Times New Roman" w:hAnsi="Times New Roman"/>
          <w:sz w:val="24"/>
          <w:szCs w:val="24"/>
        </w:rPr>
        <w:t xml:space="preserve">ожидаемая </w:t>
      </w:r>
      <w:r>
        <w:rPr>
          <w:rFonts w:ascii="Times New Roman" w:hAnsi="Times New Roman"/>
          <w:sz w:val="24"/>
          <w:szCs w:val="24"/>
        </w:rPr>
        <w:t xml:space="preserve">дата, в которую </w:t>
      </w:r>
      <w:r w:rsidR="005A49D2">
        <w:rPr>
          <w:rFonts w:ascii="Times New Roman" w:hAnsi="Times New Roman"/>
          <w:sz w:val="24"/>
          <w:szCs w:val="24"/>
        </w:rPr>
        <w:t xml:space="preserve">планируется </w:t>
      </w:r>
      <w:r>
        <w:rPr>
          <w:rFonts w:ascii="Times New Roman" w:hAnsi="Times New Roman"/>
          <w:sz w:val="24"/>
          <w:szCs w:val="24"/>
        </w:rPr>
        <w:t>поступление денежных средств, соответствующая дате окончания n-ого периода (за исключением случаев досрочного погашения основного долга).</w:t>
      </w:r>
    </w:p>
    <w:p w14:paraId="642689D6" w14:textId="77777777" w:rsidR="000C1E0E" w:rsidRDefault="000C1E0E" w:rsidP="000C1E0E">
      <w:pPr>
        <w:widowControl w:val="0"/>
        <w:spacing w:before="60" w:after="60" w:line="240" w:lineRule="auto"/>
        <w:ind w:left="720"/>
        <w:outlineLvl w:val="1"/>
        <w:rPr>
          <w:rFonts w:ascii="Times New Roman" w:hAnsi="Times New Roman"/>
          <w:sz w:val="24"/>
          <w:szCs w:val="24"/>
        </w:rPr>
      </w:pPr>
      <w:r>
        <w:rPr>
          <w:rFonts w:ascii="Times New Roman" w:hAnsi="Times New Roman"/>
          <w:sz w:val="24"/>
          <w:szCs w:val="24"/>
        </w:rPr>
        <w:t>График денежных потоков корректируется в случае внесения изменений в договор, а также в случае частичного досрочного погашения основного долга.</w:t>
      </w:r>
    </w:p>
    <w:p w14:paraId="3582C004" w14:textId="77777777" w:rsidR="000C1E0E" w:rsidRDefault="000C1E0E" w:rsidP="000C1E0E">
      <w:pPr>
        <w:widowControl w:val="0"/>
        <w:spacing w:before="60" w:after="60" w:line="240" w:lineRule="auto"/>
        <w:ind w:left="720"/>
        <w:outlineLvl w:val="1"/>
        <w:rPr>
          <w:rFonts w:ascii="Times New Roman" w:hAnsi="Times New Roman"/>
          <w:sz w:val="24"/>
          <w:szCs w:val="24"/>
        </w:rPr>
      </w:pPr>
      <w:r>
        <w:rPr>
          <w:rFonts w:ascii="Times New Roman" w:hAnsi="Times New Roman"/>
          <w:sz w:val="24"/>
          <w:szCs w:val="24"/>
        </w:rPr>
        <w:t xml:space="preserve">Ставка дисконтирования, используемая для метода приведенной стоимости будущих денежных потоков, возникает из наблюдаемых ставок доходности по сопоставимым активам или обязательствам, обращающимся на рынке. Соответственно, предусмотренные договором, потоки денежных средств дисконтируются по наблюдаемой или расчетной рыночной ставке для таких условных потоков денежных средств (то есть рыночной ставке доходности). </w:t>
      </w:r>
    </w:p>
    <w:p w14:paraId="740D3B28" w14:textId="77777777" w:rsidR="000C1E0E" w:rsidRDefault="000C1E0E" w:rsidP="000C1E0E">
      <w:pPr>
        <w:widowControl w:val="0"/>
        <w:numPr>
          <w:ilvl w:val="2"/>
          <w:numId w:val="4"/>
        </w:numPr>
        <w:spacing w:before="60" w:after="60" w:line="240" w:lineRule="auto"/>
        <w:outlineLvl w:val="1"/>
        <w:rPr>
          <w:rFonts w:ascii="Times New Roman" w:hAnsi="Times New Roman"/>
          <w:sz w:val="24"/>
          <w:szCs w:val="24"/>
        </w:rPr>
      </w:pPr>
      <w:r>
        <w:rPr>
          <w:rFonts w:ascii="Times New Roman" w:hAnsi="Times New Roman"/>
          <w:sz w:val="24"/>
          <w:szCs w:val="24"/>
        </w:rPr>
        <w:t>Ставка дисконтирования равна:</w:t>
      </w:r>
    </w:p>
    <w:p w14:paraId="3AA36857" w14:textId="3B40DD96" w:rsidR="000C1E0E" w:rsidRDefault="000C1E0E" w:rsidP="00855205">
      <w:pPr>
        <w:pStyle w:val="Default"/>
        <w:ind w:firstLine="708"/>
        <w:jc w:val="both"/>
      </w:pPr>
      <w:r>
        <w:t>- ставке, предусмотренной договором в течение максима</w:t>
      </w:r>
      <w:r w:rsidR="00855205">
        <w:t xml:space="preserve">льного срока, если ее значение </w:t>
      </w:r>
      <w:r>
        <w:t xml:space="preserve">находится в пределах диапазона </w:t>
      </w:r>
      <w:r w:rsidR="0074082C">
        <w:t xml:space="preserve">колебаний </w:t>
      </w:r>
      <w:r>
        <w:t>рыночной ставки за 12 месяцев от даты ее определения;</w:t>
      </w:r>
    </w:p>
    <w:p w14:paraId="05D54F40" w14:textId="355609EA" w:rsidR="00B33769" w:rsidRPr="00B33769" w:rsidRDefault="00B33769" w:rsidP="00B33769">
      <w:pPr>
        <w:pStyle w:val="Default"/>
        <w:jc w:val="both"/>
      </w:pPr>
      <w:r w:rsidRPr="00B33769">
        <w:t xml:space="preserve">            -рыночной ставке (</w:t>
      </w:r>
      <w:r w:rsidRPr="00B33769">
        <w:rPr>
          <w:b/>
          <w:bCs/>
        </w:rPr>
        <w:t>если ставка по договору выходит за границы диапазона рыночных ставок</w:t>
      </w:r>
      <w:r w:rsidRPr="00B33769">
        <w:t xml:space="preserve">); </w:t>
      </w:r>
    </w:p>
    <w:p w14:paraId="0FA2993B" w14:textId="77777777" w:rsidR="000C1E0E" w:rsidRDefault="000C1E0E" w:rsidP="000C1E0E">
      <w:pPr>
        <w:widowControl w:val="0"/>
        <w:spacing w:before="60" w:after="60" w:line="240" w:lineRule="auto"/>
        <w:ind w:left="720"/>
        <w:outlineLvl w:val="1"/>
        <w:rPr>
          <w:rFonts w:ascii="Times New Roman" w:hAnsi="Times New Roman"/>
          <w:sz w:val="24"/>
          <w:szCs w:val="24"/>
        </w:rPr>
      </w:pPr>
      <w:r>
        <w:rPr>
          <w:rFonts w:ascii="Times New Roman" w:hAnsi="Times New Roman"/>
          <w:sz w:val="24"/>
          <w:szCs w:val="24"/>
        </w:rPr>
        <w:t>- рыночной ставке на дату ее определения, если ставка по договору не установлена.</w:t>
      </w:r>
    </w:p>
    <w:p w14:paraId="6BDD1B90" w14:textId="77777777" w:rsidR="000C1E0E" w:rsidRDefault="000C1E0E" w:rsidP="000C1E0E">
      <w:pPr>
        <w:widowControl w:val="0"/>
        <w:numPr>
          <w:ilvl w:val="2"/>
          <w:numId w:val="4"/>
        </w:numPr>
        <w:spacing w:before="60" w:after="60" w:line="240" w:lineRule="auto"/>
        <w:outlineLvl w:val="1"/>
        <w:rPr>
          <w:rFonts w:ascii="Times New Roman" w:hAnsi="Times New Roman"/>
          <w:sz w:val="24"/>
          <w:szCs w:val="24"/>
        </w:rPr>
      </w:pPr>
      <w:r>
        <w:rPr>
          <w:rFonts w:ascii="Times New Roman" w:hAnsi="Times New Roman"/>
          <w:sz w:val="24"/>
          <w:szCs w:val="24"/>
        </w:rPr>
        <w:t xml:space="preserve">Ставка дисконтирования определяется по состоянию: </w:t>
      </w:r>
    </w:p>
    <w:p w14:paraId="1C7746D2" w14:textId="77777777" w:rsidR="000C1E0E" w:rsidRDefault="000C1E0E" w:rsidP="000C1E0E">
      <w:pPr>
        <w:widowControl w:val="0"/>
        <w:spacing w:before="60" w:after="60" w:line="240" w:lineRule="auto"/>
        <w:ind w:left="720"/>
        <w:outlineLvl w:val="1"/>
        <w:rPr>
          <w:rFonts w:ascii="Times New Roman" w:hAnsi="Times New Roman"/>
          <w:sz w:val="24"/>
          <w:szCs w:val="24"/>
        </w:rPr>
      </w:pPr>
      <w:r>
        <w:rPr>
          <w:rFonts w:ascii="Times New Roman" w:hAnsi="Times New Roman"/>
          <w:sz w:val="24"/>
          <w:szCs w:val="24"/>
        </w:rPr>
        <w:t>- на дату первоначального признания;</w:t>
      </w:r>
    </w:p>
    <w:p w14:paraId="26E4A229" w14:textId="77777777" w:rsidR="000C1E0E" w:rsidRDefault="000C1E0E" w:rsidP="000C1E0E">
      <w:pPr>
        <w:widowControl w:val="0"/>
        <w:spacing w:before="60" w:after="60" w:line="240" w:lineRule="auto"/>
        <w:ind w:left="720"/>
        <w:outlineLvl w:val="1"/>
        <w:rPr>
          <w:rFonts w:ascii="Times New Roman" w:hAnsi="Times New Roman"/>
          <w:sz w:val="24"/>
          <w:szCs w:val="24"/>
        </w:rPr>
      </w:pPr>
      <w:r>
        <w:rPr>
          <w:rFonts w:ascii="Times New Roman" w:hAnsi="Times New Roman"/>
          <w:sz w:val="24"/>
          <w:szCs w:val="24"/>
        </w:rPr>
        <w:t>- на дату изменения ключевой ставки Банка России (за исключением рыночной ставки в иностранной валюте);</w:t>
      </w:r>
    </w:p>
    <w:p w14:paraId="2C2DB764" w14:textId="77777777" w:rsidR="000C1E0E" w:rsidRDefault="000C1E0E" w:rsidP="000C1E0E">
      <w:pPr>
        <w:widowControl w:val="0"/>
        <w:spacing w:before="60" w:after="60" w:line="240" w:lineRule="auto"/>
        <w:ind w:left="720"/>
        <w:outlineLvl w:val="1"/>
        <w:rPr>
          <w:rFonts w:ascii="Times New Roman" w:hAnsi="Times New Roman"/>
          <w:sz w:val="24"/>
          <w:szCs w:val="24"/>
        </w:rPr>
      </w:pPr>
      <w:r>
        <w:rPr>
          <w:rFonts w:ascii="Times New Roman" w:hAnsi="Times New Roman"/>
          <w:sz w:val="24"/>
          <w:szCs w:val="24"/>
        </w:rPr>
        <w:t>- на дату определения справедливой стоимости активов Фонда.</w:t>
      </w:r>
    </w:p>
    <w:p w14:paraId="70E14F84" w14:textId="77777777" w:rsidR="000C1E0E" w:rsidRDefault="000C1E0E" w:rsidP="000C1E0E">
      <w:pPr>
        <w:pStyle w:val="afc"/>
        <w:widowControl w:val="0"/>
        <w:numPr>
          <w:ilvl w:val="2"/>
          <w:numId w:val="4"/>
        </w:numPr>
        <w:spacing w:before="60" w:after="60" w:line="240" w:lineRule="auto"/>
        <w:outlineLvl w:val="1"/>
        <w:rPr>
          <w:rFonts w:ascii="Times New Roman" w:hAnsi="Times New Roman"/>
          <w:sz w:val="24"/>
          <w:szCs w:val="24"/>
        </w:rPr>
      </w:pPr>
      <w:r>
        <w:rPr>
          <w:rFonts w:ascii="Times New Roman" w:hAnsi="Times New Roman"/>
          <w:sz w:val="24"/>
          <w:szCs w:val="24"/>
        </w:rPr>
        <w:t>Порядок признания процентной ставки рыночной</w:t>
      </w:r>
    </w:p>
    <w:p w14:paraId="0EB47324" w14:textId="77777777" w:rsidR="000C1E0E" w:rsidRDefault="000C1E0E" w:rsidP="000C1E0E">
      <w:pPr>
        <w:pStyle w:val="afc"/>
        <w:widowControl w:val="0"/>
        <w:spacing w:before="60" w:after="60" w:line="240" w:lineRule="auto"/>
        <w:ind w:left="709"/>
        <w:jc w:val="both"/>
        <w:outlineLvl w:val="1"/>
        <w:rPr>
          <w:rFonts w:ascii="Times New Roman" w:hAnsi="Times New Roman"/>
          <w:sz w:val="24"/>
          <w:szCs w:val="24"/>
        </w:rPr>
      </w:pPr>
      <w:r>
        <w:rPr>
          <w:rFonts w:ascii="Times New Roman" w:hAnsi="Times New Roman"/>
          <w:sz w:val="24"/>
          <w:szCs w:val="24"/>
        </w:rPr>
        <w:t>На дату определения СЧА производится проверка соответствия процентной ставки по депозиту, определенной в договоре банковского вклада, рыночным условиям.</w:t>
      </w:r>
    </w:p>
    <w:p w14:paraId="3BB1ED0B" w14:textId="77777777" w:rsidR="000C1E0E" w:rsidRDefault="000C1E0E" w:rsidP="000C1E0E">
      <w:pPr>
        <w:pStyle w:val="afc"/>
        <w:widowControl w:val="0"/>
        <w:spacing w:before="60" w:after="60" w:line="240" w:lineRule="auto"/>
        <w:ind w:left="709"/>
        <w:jc w:val="both"/>
        <w:outlineLvl w:val="1"/>
        <w:rPr>
          <w:rFonts w:ascii="Times New Roman" w:hAnsi="Times New Roman"/>
          <w:sz w:val="24"/>
          <w:szCs w:val="24"/>
        </w:rPr>
      </w:pPr>
      <w:r>
        <w:rPr>
          <w:rFonts w:ascii="Times New Roman" w:hAnsi="Times New Roman"/>
          <w:sz w:val="24"/>
          <w:szCs w:val="24"/>
        </w:rPr>
        <w:t>Процентная ставка по рублевому депозиту признается рыночной, если выполнено условие:</w:t>
      </w:r>
    </w:p>
    <w:p w14:paraId="33DF84FB" w14:textId="77777777" w:rsidR="000C1E0E" w:rsidRDefault="00C74876" w:rsidP="000C1E0E">
      <w:pPr>
        <w:pStyle w:val="afc"/>
        <w:widowControl w:val="0"/>
        <w:spacing w:before="60" w:after="60" w:line="240" w:lineRule="auto"/>
        <w:ind w:left="1418"/>
        <w:jc w:val="both"/>
        <w:outlineLvl w:val="1"/>
        <w:rPr>
          <w:rFonts w:ascii="Times New Roman" w:hAnsi="Times New Roman"/>
          <w:sz w:val="24"/>
          <w:szCs w:val="24"/>
        </w:rPr>
      </w:pPr>
      <m:oMath>
        <m:sSub>
          <m:sSubPr>
            <m:ctrlPr>
              <w:rPr>
                <w:rFonts w:ascii="Cambria Math" w:hAnsi="Cambria Math"/>
                <w:sz w:val="24"/>
                <w:szCs w:val="24"/>
              </w:rPr>
            </m:ctrlPr>
          </m:sSubPr>
          <m:e>
            <m:r>
              <w:rPr>
                <w:rFonts w:ascii="Cambria Math" w:hAnsi="Cambria Math"/>
                <w:sz w:val="24"/>
                <w:szCs w:val="24"/>
              </w:rPr>
              <m:t>r</m:t>
            </m:r>
          </m:e>
          <m:sub>
            <m:r>
              <m:rPr>
                <m:sty m:val="p"/>
              </m:rPr>
              <w:rPr>
                <w:rFonts w:ascii="Cambria Math" w:hAnsi="Cambria Math"/>
                <w:sz w:val="24"/>
                <w:szCs w:val="24"/>
              </w:rPr>
              <m:t>оц.ср.рын.</m:t>
            </m:r>
          </m:sub>
        </m:sSub>
        <m:r>
          <m:rPr>
            <m:sty m:val="p"/>
          </m:rPr>
          <w:rPr>
            <w:rFonts w:ascii="Cambria Math" w:hAnsi="Cambria Math"/>
            <w:sz w:val="24"/>
            <w:szCs w:val="24"/>
          </w:rPr>
          <m:t>*(1-</m:t>
        </m:r>
        <m:r>
          <w:rPr>
            <w:rFonts w:ascii="Cambria Math" w:hAnsi="Cambria Math"/>
            <w:sz w:val="24"/>
            <w:szCs w:val="24"/>
          </w:rPr>
          <m:t>KV</m:t>
        </m:r>
        <m:r>
          <m:rPr>
            <m:sty m:val="p"/>
          </m:rPr>
          <w:rPr>
            <w:rFonts w:ascii="Cambria Math" w:hAnsi="Cambria Math"/>
            <w:sz w:val="24"/>
            <w:szCs w:val="24"/>
          </w:rPr>
          <m:t>)</m:t>
        </m:r>
        <m:sSub>
          <m:sSubPr>
            <m:ctrlPr>
              <w:rPr>
                <w:rFonts w:ascii="Cambria Math" w:hAnsi="Cambria Math"/>
                <w:sz w:val="24"/>
                <w:szCs w:val="24"/>
              </w:rPr>
            </m:ctrlPr>
          </m:sSubPr>
          <m:e>
            <m:r>
              <m:rPr>
                <m:sty m:val="p"/>
              </m:rPr>
              <w:rPr>
                <w:rFonts w:ascii="Cambria Math" w:hAnsi="Cambria Math"/>
                <w:sz w:val="24"/>
                <w:szCs w:val="24"/>
              </w:rPr>
              <m:t>≤</m:t>
            </m:r>
            <m:r>
              <w:rPr>
                <w:rFonts w:ascii="Cambria Math" w:hAnsi="Cambria Math"/>
                <w:sz w:val="24"/>
                <w:szCs w:val="24"/>
              </w:rPr>
              <m:t>r</m:t>
            </m:r>
          </m:e>
          <m:sub>
            <m:r>
              <m:rPr>
                <m:sty m:val="p"/>
              </m:rPr>
              <w:rPr>
                <w:rFonts w:ascii="Cambria Math" w:hAnsi="Cambria Math"/>
                <w:sz w:val="24"/>
                <w:szCs w:val="24"/>
              </w:rPr>
              <m:t>деп</m:t>
            </m:r>
          </m:sub>
        </m:sSub>
        <m:r>
          <m:rPr>
            <m:sty m:val="p"/>
          </m:rPr>
          <w:rPr>
            <w:rFonts w:ascii="Cambria Math" w:hAnsi="Cambria Math"/>
            <w:sz w:val="24"/>
            <w:szCs w:val="24"/>
          </w:rPr>
          <m:t>≤</m:t>
        </m:r>
        <m:sSub>
          <m:sSubPr>
            <m:ctrlPr>
              <w:rPr>
                <w:rFonts w:ascii="Cambria Math" w:hAnsi="Cambria Math"/>
                <w:sz w:val="24"/>
                <w:szCs w:val="24"/>
              </w:rPr>
            </m:ctrlPr>
          </m:sSubPr>
          <m:e>
            <m:r>
              <w:rPr>
                <w:rFonts w:ascii="Cambria Math" w:hAnsi="Cambria Math"/>
                <w:sz w:val="24"/>
                <w:szCs w:val="24"/>
              </w:rPr>
              <m:t>r</m:t>
            </m:r>
          </m:e>
          <m:sub>
            <m:r>
              <m:rPr>
                <m:sty m:val="p"/>
              </m:rPr>
              <w:rPr>
                <w:rFonts w:ascii="Cambria Math" w:hAnsi="Cambria Math"/>
                <w:sz w:val="24"/>
                <w:szCs w:val="24"/>
              </w:rPr>
              <m:t>оц. ср.рын.</m:t>
            </m:r>
          </m:sub>
        </m:sSub>
        <m:r>
          <m:rPr>
            <m:sty m:val="p"/>
          </m:rPr>
          <w:rPr>
            <w:rFonts w:ascii="Cambria Math" w:hAnsi="Cambria Math"/>
            <w:sz w:val="24"/>
            <w:szCs w:val="24"/>
          </w:rPr>
          <m:t>*(1+</m:t>
        </m:r>
        <m:r>
          <w:rPr>
            <w:rFonts w:ascii="Cambria Math" w:hAnsi="Cambria Math"/>
            <w:sz w:val="24"/>
            <w:szCs w:val="24"/>
          </w:rPr>
          <m:t>KV</m:t>
        </m:r>
        <m:r>
          <m:rPr>
            <m:sty m:val="p"/>
          </m:rPr>
          <w:rPr>
            <w:rFonts w:ascii="Cambria Math" w:hAnsi="Cambria Math"/>
            <w:sz w:val="24"/>
            <w:szCs w:val="24"/>
          </w:rPr>
          <m:t>)</m:t>
        </m:r>
      </m:oMath>
      <w:r w:rsidR="000C1E0E">
        <w:rPr>
          <w:rFonts w:ascii="Times New Roman" w:hAnsi="Times New Roman"/>
          <w:sz w:val="24"/>
          <w:szCs w:val="24"/>
        </w:rPr>
        <w:t>,</w:t>
      </w:r>
    </w:p>
    <w:p w14:paraId="20FD5DB0" w14:textId="77777777" w:rsidR="000C1E0E" w:rsidRDefault="000C1E0E" w:rsidP="000C1E0E">
      <w:pPr>
        <w:pStyle w:val="afc"/>
        <w:widowControl w:val="0"/>
        <w:spacing w:before="60" w:after="60" w:line="240" w:lineRule="auto"/>
        <w:ind w:left="709"/>
        <w:jc w:val="both"/>
        <w:outlineLvl w:val="1"/>
        <w:rPr>
          <w:rFonts w:ascii="Times New Roman" w:hAnsi="Times New Roman"/>
          <w:sz w:val="24"/>
          <w:szCs w:val="24"/>
        </w:rPr>
      </w:pPr>
      <w:r>
        <w:rPr>
          <w:rFonts w:ascii="Times New Roman" w:hAnsi="Times New Roman"/>
          <w:sz w:val="24"/>
          <w:szCs w:val="24"/>
        </w:rPr>
        <w:t>где:</w:t>
      </w:r>
    </w:p>
    <w:p w14:paraId="32FFEDDF" w14:textId="77777777" w:rsidR="000C1E0E" w:rsidRDefault="00C74876" w:rsidP="000C1E0E">
      <w:pPr>
        <w:pStyle w:val="afc"/>
        <w:widowControl w:val="0"/>
        <w:spacing w:before="60" w:after="60" w:line="240" w:lineRule="auto"/>
        <w:ind w:left="709"/>
        <w:jc w:val="both"/>
        <w:outlineLvl w:val="1"/>
        <w:rPr>
          <w:rFonts w:ascii="Times New Roman" w:hAnsi="Times New Roman"/>
          <w:sz w:val="24"/>
          <w:szCs w:val="24"/>
        </w:rPr>
      </w:pPr>
      <m:oMath>
        <m:sSub>
          <m:sSubPr>
            <m:ctrlPr>
              <w:rPr>
                <w:rFonts w:ascii="Cambria Math" w:hAnsi="Cambria Math"/>
                <w:sz w:val="24"/>
                <w:szCs w:val="24"/>
              </w:rPr>
            </m:ctrlPr>
          </m:sSubPr>
          <m:e>
            <m:r>
              <w:rPr>
                <w:rFonts w:ascii="Cambria Math" w:hAnsi="Cambria Math"/>
                <w:sz w:val="24"/>
                <w:szCs w:val="24"/>
              </w:rPr>
              <m:t>r</m:t>
            </m:r>
          </m:e>
          <m:sub>
            <m:r>
              <m:rPr>
                <m:sty m:val="p"/>
              </m:rPr>
              <w:rPr>
                <w:rFonts w:ascii="Cambria Math" w:hAnsi="Cambria Math"/>
                <w:sz w:val="24"/>
                <w:szCs w:val="24"/>
              </w:rPr>
              <m:t>деп</m:t>
            </m:r>
          </m:sub>
        </m:sSub>
      </m:oMath>
      <w:r w:rsidR="000C1E0E">
        <w:rPr>
          <w:rFonts w:ascii="Times New Roman" w:hAnsi="Times New Roman"/>
          <w:sz w:val="24"/>
          <w:szCs w:val="24"/>
        </w:rPr>
        <w:t xml:space="preserve"> - ставка по депозиту в процентах;</w:t>
      </w:r>
    </w:p>
    <w:p w14:paraId="1F55620D" w14:textId="77777777" w:rsidR="000C1E0E" w:rsidRDefault="000C1E0E" w:rsidP="000C1E0E">
      <w:pPr>
        <w:pStyle w:val="afc"/>
        <w:widowControl w:val="0"/>
        <w:spacing w:before="60" w:after="60" w:line="240" w:lineRule="auto"/>
        <w:ind w:left="709"/>
        <w:jc w:val="both"/>
        <w:outlineLvl w:val="1"/>
        <w:rPr>
          <w:rFonts w:ascii="Times New Roman" w:hAnsi="Times New Roman"/>
          <w:sz w:val="24"/>
          <w:szCs w:val="24"/>
        </w:rPr>
      </w:pPr>
      <w:r>
        <w:rPr>
          <w:rFonts w:ascii="Times New Roman" w:hAnsi="Times New Roman"/>
          <w:sz w:val="24"/>
          <w:szCs w:val="24"/>
        </w:rPr>
        <w:t>KV – коэффициент волатильности рыночной ставки на горизонте 12 месяцев, определяемый по формуле:</w:t>
      </w:r>
    </w:p>
    <w:p w14:paraId="299F3EA0" w14:textId="77777777" w:rsidR="000C1E0E" w:rsidRDefault="000C1E0E" w:rsidP="000C1E0E">
      <w:pPr>
        <w:pStyle w:val="afc"/>
        <w:widowControl w:val="0"/>
        <w:spacing w:before="60" w:after="60" w:line="240" w:lineRule="auto"/>
        <w:ind w:left="709"/>
        <w:jc w:val="both"/>
        <w:outlineLvl w:val="1"/>
        <w:rPr>
          <w:rFonts w:ascii="Times New Roman" w:hAnsi="Times New Roman"/>
          <w:sz w:val="24"/>
          <w:szCs w:val="24"/>
        </w:rPr>
      </w:pPr>
    </w:p>
    <w:p w14:paraId="5D3258EA" w14:textId="77777777" w:rsidR="000C1E0E" w:rsidRDefault="000C1E0E" w:rsidP="000C1E0E">
      <w:pPr>
        <w:pStyle w:val="afc"/>
        <w:widowControl w:val="0"/>
        <w:spacing w:before="60" w:after="60" w:line="240" w:lineRule="auto"/>
        <w:ind w:left="709" w:firstLine="707"/>
        <w:jc w:val="both"/>
        <w:outlineLvl w:val="1"/>
        <w:rPr>
          <w:rFonts w:ascii="Times New Roman" w:hAnsi="Times New Roman"/>
          <w:sz w:val="24"/>
          <w:szCs w:val="24"/>
          <w:lang w:val="en-US"/>
        </w:rPr>
      </w:pPr>
      <w:r>
        <w:rPr>
          <w:rFonts w:ascii="Times New Roman" w:hAnsi="Times New Roman"/>
          <w:sz w:val="24"/>
          <w:szCs w:val="24"/>
          <w:lang w:val="en-US"/>
        </w:rPr>
        <w:t>KV=</w:t>
      </w:r>
      <m:oMath>
        <m:f>
          <m:fPr>
            <m:ctrlPr>
              <w:rPr>
                <w:rFonts w:ascii="Cambria Math" w:hAnsi="Cambria Math"/>
                <w:sz w:val="24"/>
                <w:szCs w:val="24"/>
              </w:rPr>
            </m:ctrlPr>
          </m:fPr>
          <m:num>
            <m:r>
              <w:rPr>
                <w:rFonts w:ascii="Cambria Math" w:hAnsi="Cambria Math"/>
                <w:sz w:val="24"/>
                <w:szCs w:val="24"/>
              </w:rPr>
              <m:t>max</m:t>
            </m:r>
            <m:sSub>
              <m:sSubPr>
                <m:ctrlPr>
                  <w:rPr>
                    <w:rFonts w:ascii="Cambria Math" w:hAnsi="Cambria Math"/>
                    <w:sz w:val="24"/>
                    <w:szCs w:val="24"/>
                  </w:rPr>
                </m:ctrlPr>
              </m:sSubPr>
              <m:e>
                <m:r>
                  <w:rPr>
                    <w:rFonts w:ascii="Cambria Math" w:hAnsi="Cambria Math"/>
                    <w:sz w:val="24"/>
                    <w:szCs w:val="24"/>
                  </w:rPr>
                  <m:t>r</m:t>
                </m:r>
              </m:e>
              <m:sub>
                <m:r>
                  <m:rPr>
                    <m:sty m:val="p"/>
                  </m:rPr>
                  <w:rPr>
                    <w:rFonts w:ascii="Cambria Math" w:hAnsi="Cambria Math"/>
                    <w:sz w:val="24"/>
                    <w:szCs w:val="24"/>
                  </w:rPr>
                  <m:t>ср</m:t>
                </m:r>
                <m:r>
                  <m:rPr>
                    <m:sty m:val="p"/>
                  </m:rPr>
                  <w:rPr>
                    <w:rFonts w:ascii="Cambria Math" w:hAnsi="Cambria Math"/>
                    <w:sz w:val="24"/>
                    <w:szCs w:val="24"/>
                    <w:lang w:val="en-US"/>
                  </w:rPr>
                  <m:t>.</m:t>
                </m:r>
                <m:r>
                  <m:rPr>
                    <m:sty m:val="p"/>
                  </m:rPr>
                  <w:rPr>
                    <w:rFonts w:ascii="Cambria Math" w:hAnsi="Cambria Math"/>
                    <w:sz w:val="24"/>
                    <w:szCs w:val="24"/>
                  </w:rPr>
                  <m:t>рын</m:t>
                </m:r>
                <m:r>
                  <m:rPr>
                    <m:sty m:val="p"/>
                  </m:rPr>
                  <w:rPr>
                    <w:rFonts w:ascii="Cambria Math" w:hAnsi="Cambria Math"/>
                    <w:sz w:val="24"/>
                    <w:szCs w:val="24"/>
                    <w:lang w:val="en-US"/>
                  </w:rPr>
                  <m:t>.</m:t>
                </m:r>
              </m:sub>
            </m:sSub>
            <m:r>
              <m:rPr>
                <m:sty m:val="p"/>
              </m:rPr>
              <w:rPr>
                <w:rFonts w:ascii="Cambria Math" w:hAnsi="Cambria Math"/>
                <w:sz w:val="24"/>
                <w:szCs w:val="24"/>
                <w:lang w:val="en-US"/>
              </w:rPr>
              <m:t>-</m:t>
            </m:r>
            <m:sSub>
              <m:sSubPr>
                <m:ctrlPr>
                  <w:rPr>
                    <w:rFonts w:ascii="Cambria Math" w:hAnsi="Cambria Math"/>
                    <w:sz w:val="24"/>
                    <w:szCs w:val="24"/>
                  </w:rPr>
                </m:ctrlPr>
              </m:sSubPr>
              <m:e>
                <m:r>
                  <w:rPr>
                    <w:rFonts w:ascii="Cambria Math" w:hAnsi="Cambria Math"/>
                    <w:sz w:val="24"/>
                    <w:szCs w:val="24"/>
                  </w:rPr>
                  <m:t>minr</m:t>
                </m:r>
              </m:e>
              <m:sub>
                <m:r>
                  <m:rPr>
                    <m:sty m:val="p"/>
                  </m:rPr>
                  <w:rPr>
                    <w:rFonts w:ascii="Cambria Math" w:hAnsi="Cambria Math"/>
                    <w:sz w:val="24"/>
                    <w:szCs w:val="24"/>
                  </w:rPr>
                  <m:t>ср</m:t>
                </m:r>
                <m:r>
                  <m:rPr>
                    <m:sty m:val="p"/>
                  </m:rPr>
                  <w:rPr>
                    <w:rFonts w:ascii="Cambria Math" w:hAnsi="Cambria Math"/>
                    <w:sz w:val="24"/>
                    <w:szCs w:val="24"/>
                    <w:lang w:val="en-US"/>
                  </w:rPr>
                  <m:t>.</m:t>
                </m:r>
                <m:r>
                  <m:rPr>
                    <m:sty m:val="p"/>
                  </m:rPr>
                  <w:rPr>
                    <w:rFonts w:ascii="Cambria Math" w:hAnsi="Cambria Math"/>
                    <w:sz w:val="24"/>
                    <w:szCs w:val="24"/>
                  </w:rPr>
                  <m:t>рын</m:t>
                </m:r>
                <m:r>
                  <m:rPr>
                    <m:sty m:val="p"/>
                  </m:rPr>
                  <w:rPr>
                    <w:rFonts w:ascii="Cambria Math" w:hAnsi="Cambria Math"/>
                    <w:sz w:val="24"/>
                    <w:szCs w:val="24"/>
                    <w:lang w:val="en-US"/>
                  </w:rPr>
                  <m:t>.</m:t>
                </m:r>
              </m:sub>
            </m:sSub>
          </m:num>
          <m:den>
            <m:sSub>
              <m:sSubPr>
                <m:ctrlPr>
                  <w:rPr>
                    <w:rFonts w:ascii="Cambria Math" w:hAnsi="Cambria Math"/>
                    <w:sz w:val="24"/>
                    <w:szCs w:val="24"/>
                  </w:rPr>
                </m:ctrlPr>
              </m:sSubPr>
              <m:e>
                <m:r>
                  <w:rPr>
                    <w:rFonts w:ascii="Cambria Math" w:hAnsi="Cambria Math"/>
                    <w:sz w:val="24"/>
                    <w:szCs w:val="24"/>
                  </w:rPr>
                  <m:t>minr</m:t>
                </m:r>
              </m:e>
              <m:sub>
                <m:r>
                  <m:rPr>
                    <m:sty m:val="p"/>
                  </m:rPr>
                  <w:rPr>
                    <w:rFonts w:ascii="Cambria Math" w:hAnsi="Cambria Math"/>
                    <w:sz w:val="24"/>
                    <w:szCs w:val="24"/>
                  </w:rPr>
                  <m:t>ср</m:t>
                </m:r>
                <m:r>
                  <m:rPr>
                    <m:sty m:val="p"/>
                  </m:rPr>
                  <w:rPr>
                    <w:rFonts w:ascii="Cambria Math" w:hAnsi="Cambria Math"/>
                    <w:sz w:val="24"/>
                    <w:szCs w:val="24"/>
                    <w:lang w:val="en-US"/>
                  </w:rPr>
                  <m:t>.</m:t>
                </m:r>
                <m:r>
                  <m:rPr>
                    <m:sty m:val="p"/>
                  </m:rPr>
                  <w:rPr>
                    <w:rFonts w:ascii="Cambria Math" w:hAnsi="Cambria Math"/>
                    <w:sz w:val="24"/>
                    <w:szCs w:val="24"/>
                  </w:rPr>
                  <m:t>рын</m:t>
                </m:r>
                <m:r>
                  <m:rPr>
                    <m:sty m:val="p"/>
                  </m:rPr>
                  <w:rPr>
                    <w:rFonts w:ascii="Cambria Math" w:hAnsi="Cambria Math"/>
                    <w:sz w:val="24"/>
                    <w:szCs w:val="24"/>
                    <w:lang w:val="en-US"/>
                  </w:rPr>
                  <m:t>.</m:t>
                </m:r>
              </m:sub>
            </m:sSub>
          </m:den>
        </m:f>
      </m:oMath>
      <w:r>
        <w:rPr>
          <w:rFonts w:ascii="Times New Roman" w:hAnsi="Times New Roman"/>
          <w:sz w:val="24"/>
          <w:szCs w:val="24"/>
          <w:lang w:val="en-US"/>
        </w:rPr>
        <w:t xml:space="preserve"> ,</w:t>
      </w:r>
    </w:p>
    <w:p w14:paraId="6F89EC36" w14:textId="77777777" w:rsidR="000C1E0E" w:rsidRDefault="000C1E0E" w:rsidP="000C1E0E">
      <w:pPr>
        <w:pStyle w:val="afc"/>
        <w:widowControl w:val="0"/>
        <w:spacing w:before="60" w:after="60" w:line="240" w:lineRule="auto"/>
        <w:ind w:left="709"/>
        <w:jc w:val="both"/>
        <w:outlineLvl w:val="1"/>
        <w:rPr>
          <w:rFonts w:ascii="Times New Roman" w:hAnsi="Times New Roman"/>
          <w:sz w:val="24"/>
          <w:szCs w:val="24"/>
        </w:rPr>
      </w:pPr>
      <w:r>
        <w:rPr>
          <w:rFonts w:ascii="Times New Roman" w:hAnsi="Times New Roman"/>
          <w:sz w:val="24"/>
          <w:szCs w:val="24"/>
        </w:rPr>
        <w:t>где:</w:t>
      </w:r>
    </w:p>
    <w:p w14:paraId="1937C057" w14:textId="77777777" w:rsidR="000C1E0E" w:rsidRDefault="000C1E0E" w:rsidP="000C1E0E">
      <w:pPr>
        <w:pStyle w:val="afc"/>
        <w:widowControl w:val="0"/>
        <w:spacing w:before="60" w:after="60" w:line="240" w:lineRule="auto"/>
        <w:ind w:left="709"/>
        <w:jc w:val="both"/>
        <w:outlineLvl w:val="1"/>
        <w:rPr>
          <w:rFonts w:ascii="Times New Roman" w:hAnsi="Times New Roman"/>
          <w:sz w:val="24"/>
          <w:szCs w:val="24"/>
        </w:rPr>
      </w:pPr>
      <m:oMath>
        <m:r>
          <w:rPr>
            <w:rFonts w:ascii="Cambria Math" w:hAnsi="Cambria Math"/>
            <w:sz w:val="24"/>
            <w:szCs w:val="24"/>
          </w:rPr>
          <m:t>max</m:t>
        </m:r>
        <m:sSub>
          <m:sSubPr>
            <m:ctrlPr>
              <w:rPr>
                <w:rFonts w:ascii="Cambria Math" w:hAnsi="Cambria Math"/>
                <w:sz w:val="24"/>
                <w:szCs w:val="24"/>
              </w:rPr>
            </m:ctrlPr>
          </m:sSubPr>
          <m:e>
            <m:r>
              <w:rPr>
                <w:rFonts w:ascii="Cambria Math" w:hAnsi="Cambria Math"/>
                <w:sz w:val="24"/>
                <w:szCs w:val="24"/>
              </w:rPr>
              <m:t>r</m:t>
            </m:r>
          </m:e>
          <m:sub>
            <m:r>
              <m:rPr>
                <m:sty m:val="p"/>
              </m:rPr>
              <w:rPr>
                <w:rFonts w:ascii="Cambria Math" w:hAnsi="Cambria Math"/>
                <w:sz w:val="24"/>
                <w:szCs w:val="24"/>
              </w:rPr>
              <m:t>ср.рын.</m:t>
            </m:r>
          </m:sub>
        </m:sSub>
      </m:oMath>
      <w:r>
        <w:rPr>
          <w:rFonts w:ascii="Times New Roman" w:hAnsi="Times New Roman"/>
          <w:sz w:val="24"/>
          <w:szCs w:val="24"/>
        </w:rPr>
        <w:t xml:space="preserve"> – максимальная средневзвешенная процентная ставка по привлеченным кредитными организациями вкладам (депозитам) нефинансовых организаций в рублях, опубликованная на официальном сайте Банка России за последние 12 месяцев до даты расчета СЧА.</w:t>
      </w:r>
    </w:p>
    <w:p w14:paraId="0ADA92AA" w14:textId="77777777" w:rsidR="000C1E0E" w:rsidRDefault="00C74876" w:rsidP="000C1E0E">
      <w:pPr>
        <w:pStyle w:val="afc"/>
        <w:widowControl w:val="0"/>
        <w:spacing w:before="60" w:after="60" w:line="240" w:lineRule="auto"/>
        <w:ind w:left="709"/>
        <w:jc w:val="both"/>
        <w:outlineLvl w:val="1"/>
        <w:rPr>
          <w:rFonts w:ascii="Times New Roman" w:hAnsi="Times New Roman"/>
          <w:sz w:val="24"/>
          <w:szCs w:val="24"/>
        </w:rPr>
      </w:pPr>
      <m:oMath>
        <m:sSub>
          <m:sSubPr>
            <m:ctrlPr>
              <w:rPr>
                <w:rFonts w:ascii="Cambria Math" w:hAnsi="Cambria Math"/>
                <w:sz w:val="24"/>
                <w:szCs w:val="24"/>
              </w:rPr>
            </m:ctrlPr>
          </m:sSubPr>
          <m:e>
            <m:r>
              <w:rPr>
                <w:rFonts w:ascii="Cambria Math" w:hAnsi="Cambria Math"/>
                <w:sz w:val="24"/>
                <w:szCs w:val="24"/>
              </w:rPr>
              <m:t>minr</m:t>
            </m:r>
          </m:e>
          <m:sub>
            <m:r>
              <m:rPr>
                <m:sty m:val="p"/>
              </m:rPr>
              <w:rPr>
                <w:rFonts w:ascii="Cambria Math" w:hAnsi="Cambria Math"/>
                <w:sz w:val="24"/>
                <w:szCs w:val="24"/>
              </w:rPr>
              <m:t>ср.рын.</m:t>
            </m:r>
          </m:sub>
        </m:sSub>
      </m:oMath>
      <w:r w:rsidR="000C1E0E">
        <w:rPr>
          <w:rFonts w:ascii="Times New Roman" w:hAnsi="Times New Roman"/>
          <w:sz w:val="24"/>
          <w:szCs w:val="24"/>
        </w:rPr>
        <w:t xml:space="preserve"> – минимальная средневзвешенная процентная ставка по привлеченным кредитными организациями вкладам (депозитам) нефинансовых организаций в рублях, опубликованная на официальном сайте Банка России за последние 12 месяцев до даты расчета СЧА.</w:t>
      </w:r>
    </w:p>
    <w:p w14:paraId="7E393B0D" w14:textId="77777777" w:rsidR="000C1E0E" w:rsidRDefault="00C74876" w:rsidP="000C1E0E">
      <w:pPr>
        <w:pStyle w:val="afc"/>
        <w:widowControl w:val="0"/>
        <w:spacing w:before="60" w:after="60" w:line="240" w:lineRule="auto"/>
        <w:ind w:left="709"/>
        <w:jc w:val="both"/>
        <w:outlineLvl w:val="1"/>
        <w:rPr>
          <w:rFonts w:ascii="Times New Roman" w:hAnsi="Times New Roman"/>
          <w:sz w:val="24"/>
          <w:szCs w:val="24"/>
        </w:rPr>
      </w:pPr>
      <m:oMath>
        <m:sSub>
          <m:sSubPr>
            <m:ctrlPr>
              <w:rPr>
                <w:rFonts w:ascii="Cambria Math" w:hAnsi="Cambria Math"/>
                <w:sz w:val="24"/>
                <w:szCs w:val="24"/>
              </w:rPr>
            </m:ctrlPr>
          </m:sSubPr>
          <m:e>
            <m:r>
              <w:rPr>
                <w:rFonts w:ascii="Cambria Math" w:hAnsi="Cambria Math"/>
                <w:sz w:val="24"/>
                <w:szCs w:val="24"/>
              </w:rPr>
              <m:t>r</m:t>
            </m:r>
          </m:e>
          <m:sub>
            <m:r>
              <m:rPr>
                <m:sty m:val="p"/>
              </m:rPr>
              <w:rPr>
                <w:rFonts w:ascii="Cambria Math" w:hAnsi="Cambria Math"/>
                <w:sz w:val="24"/>
                <w:szCs w:val="24"/>
              </w:rPr>
              <m:t>оц.ср.рын.</m:t>
            </m:r>
          </m:sub>
        </m:sSub>
      </m:oMath>
      <w:r w:rsidR="000C1E0E">
        <w:rPr>
          <w:rFonts w:ascii="Times New Roman" w:hAnsi="Times New Roman"/>
          <w:sz w:val="24"/>
          <w:szCs w:val="24"/>
        </w:rPr>
        <w:t xml:space="preserve"> - оценка средневзвешенной рыночной процентной ставки, определенная по формуле:</w:t>
      </w:r>
    </w:p>
    <w:p w14:paraId="749B63DF" w14:textId="77777777" w:rsidR="000C1E0E" w:rsidRDefault="00C74876" w:rsidP="000C1E0E">
      <w:pPr>
        <w:pStyle w:val="afc"/>
        <w:widowControl w:val="0"/>
        <w:spacing w:before="60" w:after="60" w:line="240" w:lineRule="auto"/>
        <w:ind w:left="1418"/>
        <w:jc w:val="both"/>
        <w:outlineLvl w:val="1"/>
        <w:rPr>
          <w:rFonts w:ascii="Times New Roman" w:hAnsi="Times New Roman"/>
          <w:sz w:val="24"/>
          <w:szCs w:val="24"/>
        </w:rPr>
      </w:pPr>
      <m:oMath>
        <m:sSub>
          <m:sSubPr>
            <m:ctrlPr>
              <w:rPr>
                <w:rFonts w:ascii="Cambria Math" w:hAnsi="Cambria Math"/>
                <w:sz w:val="24"/>
                <w:szCs w:val="24"/>
              </w:rPr>
            </m:ctrlPr>
          </m:sSubPr>
          <m:e>
            <m:r>
              <w:rPr>
                <w:rFonts w:ascii="Cambria Math" w:hAnsi="Cambria Math"/>
                <w:sz w:val="24"/>
                <w:szCs w:val="24"/>
              </w:rPr>
              <m:t>r</m:t>
            </m:r>
          </m:e>
          <m:sub>
            <m:r>
              <m:rPr>
                <m:sty m:val="p"/>
              </m:rPr>
              <w:rPr>
                <w:rFonts w:ascii="Cambria Math" w:hAnsi="Cambria Math"/>
                <w:sz w:val="24"/>
                <w:szCs w:val="24"/>
              </w:rPr>
              <m:t>оц.ср.рын.</m:t>
            </m:r>
          </m:sub>
        </m:sSub>
        <m:r>
          <m:rPr>
            <m:sty m:val="p"/>
          </m:rPr>
          <w:rPr>
            <w:rFonts w:ascii="Cambria Math" w:hAnsi="Cambria Math"/>
            <w:sz w:val="24"/>
            <w:szCs w:val="24"/>
          </w:rPr>
          <m:t>=</m:t>
        </m:r>
        <m:sSub>
          <m:sSubPr>
            <m:ctrlPr>
              <w:rPr>
                <w:rFonts w:ascii="Cambria Math" w:hAnsi="Cambria Math"/>
                <w:sz w:val="24"/>
                <w:szCs w:val="24"/>
              </w:rPr>
            </m:ctrlPr>
          </m:sSubPr>
          <m:e>
            <m:r>
              <w:rPr>
                <w:rFonts w:ascii="Cambria Math" w:hAnsi="Cambria Math"/>
                <w:sz w:val="24"/>
                <w:szCs w:val="24"/>
              </w:rPr>
              <m:t>r</m:t>
            </m:r>
          </m:e>
          <m:sub>
            <m:r>
              <m:rPr>
                <m:sty m:val="p"/>
              </m:rPr>
              <w:rPr>
                <w:rFonts w:ascii="Cambria Math" w:hAnsi="Cambria Math"/>
                <w:sz w:val="24"/>
                <w:szCs w:val="24"/>
              </w:rPr>
              <m:t>ср.рын.</m:t>
            </m:r>
          </m:sub>
        </m:sSub>
        <m:r>
          <m:rPr>
            <m:sty m:val="p"/>
          </m:rPr>
          <w:rPr>
            <w:rFonts w:ascii="Cambria Math" w:hAnsi="Cambria Math"/>
            <w:sz w:val="24"/>
            <w:szCs w:val="24"/>
          </w:rPr>
          <m:t>+</m:t>
        </m:r>
        <m:sSub>
          <m:sSubPr>
            <m:ctrlPr>
              <w:rPr>
                <w:rFonts w:ascii="Cambria Math" w:hAnsi="Cambria Math"/>
                <w:sz w:val="24"/>
                <w:szCs w:val="24"/>
              </w:rPr>
            </m:ctrlPr>
          </m:sSubPr>
          <m:e>
            <m:r>
              <m:rPr>
                <m:sty m:val="p"/>
              </m:rPr>
              <w:rPr>
                <w:rFonts w:ascii="Cambria Math" w:hAnsi="Cambria Math"/>
                <w:sz w:val="24"/>
                <w:szCs w:val="24"/>
              </w:rPr>
              <m:t>(КС</m:t>
            </m:r>
          </m:e>
          <m:sub>
            <m:r>
              <m:rPr>
                <m:sty m:val="p"/>
              </m:rPr>
              <w:rPr>
                <w:rFonts w:ascii="Cambria Math" w:hAnsi="Cambria Math"/>
                <w:sz w:val="24"/>
                <w:szCs w:val="24"/>
              </w:rPr>
              <m:t>д.о.</m:t>
            </m:r>
          </m:sub>
        </m:sSub>
        <m:r>
          <m:rPr>
            <m:sty m:val="p"/>
          </m:rPr>
          <w:rPr>
            <w:rFonts w:ascii="Cambria Math" w:hAnsi="Cambria Math"/>
            <w:sz w:val="24"/>
            <w:szCs w:val="24"/>
          </w:rPr>
          <m:t>-</m:t>
        </m:r>
        <m:sSub>
          <m:sSubPr>
            <m:ctrlPr>
              <w:rPr>
                <w:rFonts w:ascii="Cambria Math" w:hAnsi="Cambria Math"/>
                <w:sz w:val="24"/>
                <w:szCs w:val="24"/>
              </w:rPr>
            </m:ctrlPr>
          </m:sSubPr>
          <m:e>
            <m:r>
              <m:rPr>
                <m:sty m:val="p"/>
              </m:rPr>
              <w:rPr>
                <w:rFonts w:ascii="Cambria Math" w:hAnsi="Cambria Math"/>
                <w:sz w:val="24"/>
                <w:szCs w:val="24"/>
              </w:rPr>
              <m:t>КС</m:t>
            </m:r>
          </m:e>
          <m:sub>
            <m:r>
              <m:rPr>
                <m:sty m:val="p"/>
              </m:rPr>
              <w:rPr>
                <w:rFonts w:ascii="Cambria Math" w:hAnsi="Cambria Math"/>
                <w:sz w:val="24"/>
                <w:szCs w:val="24"/>
              </w:rPr>
              <m:t>ср.</m:t>
            </m:r>
          </m:sub>
        </m:sSub>
        <m:r>
          <m:rPr>
            <m:sty m:val="p"/>
          </m:rPr>
          <w:rPr>
            <w:rFonts w:ascii="Cambria Math" w:hAnsi="Cambria Math"/>
            <w:sz w:val="24"/>
            <w:szCs w:val="24"/>
          </w:rPr>
          <m:t>)</m:t>
        </m:r>
      </m:oMath>
      <w:r w:rsidR="000C1E0E">
        <w:rPr>
          <w:rFonts w:ascii="Times New Roman" w:hAnsi="Times New Roman"/>
          <w:sz w:val="24"/>
          <w:szCs w:val="24"/>
        </w:rPr>
        <w:t>,</w:t>
      </w:r>
    </w:p>
    <w:p w14:paraId="08534F7C" w14:textId="77777777" w:rsidR="000C1E0E" w:rsidRDefault="000C1E0E" w:rsidP="000C1E0E">
      <w:pPr>
        <w:pStyle w:val="afc"/>
        <w:widowControl w:val="0"/>
        <w:spacing w:before="60" w:after="60" w:line="240" w:lineRule="auto"/>
        <w:ind w:left="709"/>
        <w:jc w:val="both"/>
        <w:outlineLvl w:val="1"/>
        <w:rPr>
          <w:rFonts w:ascii="Times New Roman" w:hAnsi="Times New Roman"/>
          <w:sz w:val="24"/>
          <w:szCs w:val="24"/>
        </w:rPr>
      </w:pPr>
      <w:r>
        <w:rPr>
          <w:rFonts w:ascii="Times New Roman" w:hAnsi="Times New Roman"/>
          <w:sz w:val="24"/>
          <w:szCs w:val="24"/>
        </w:rPr>
        <w:t>где:</w:t>
      </w:r>
    </w:p>
    <w:p w14:paraId="7F1D0A0E" w14:textId="77777777" w:rsidR="000C1E0E" w:rsidRDefault="00C74876" w:rsidP="000C1E0E">
      <w:pPr>
        <w:pStyle w:val="afc"/>
        <w:widowControl w:val="0"/>
        <w:spacing w:before="60" w:after="60" w:line="240" w:lineRule="auto"/>
        <w:ind w:left="709"/>
        <w:jc w:val="both"/>
        <w:outlineLvl w:val="1"/>
        <w:rPr>
          <w:rFonts w:ascii="Times New Roman" w:hAnsi="Times New Roman"/>
          <w:sz w:val="24"/>
          <w:szCs w:val="24"/>
        </w:rPr>
      </w:pPr>
      <m:oMath>
        <m:sSub>
          <m:sSubPr>
            <m:ctrlPr>
              <w:rPr>
                <w:rFonts w:ascii="Cambria Math" w:hAnsi="Cambria Math"/>
                <w:sz w:val="24"/>
                <w:szCs w:val="24"/>
              </w:rPr>
            </m:ctrlPr>
          </m:sSubPr>
          <m:e>
            <m:r>
              <w:rPr>
                <w:rFonts w:ascii="Cambria Math" w:hAnsi="Cambria Math"/>
                <w:sz w:val="24"/>
                <w:szCs w:val="24"/>
              </w:rPr>
              <m:t>r</m:t>
            </m:r>
          </m:e>
          <m:sub>
            <m:r>
              <m:rPr>
                <m:sty m:val="p"/>
              </m:rPr>
              <w:rPr>
                <w:rFonts w:ascii="Cambria Math" w:hAnsi="Cambria Math"/>
                <w:sz w:val="24"/>
                <w:szCs w:val="24"/>
              </w:rPr>
              <m:t>ср.рын.</m:t>
            </m:r>
          </m:sub>
        </m:sSub>
      </m:oMath>
      <w:r w:rsidR="000C1E0E">
        <w:rPr>
          <w:rFonts w:ascii="Times New Roman" w:hAnsi="Times New Roman"/>
          <w:sz w:val="24"/>
          <w:szCs w:val="24"/>
        </w:rPr>
        <w:t xml:space="preserve"> - средневзвешенная процентная ставка по привлеченным кредитными организациями вкладам (депозитам) нефинансовых организаций в рублях, публикуемая на официальном сайте Банка России, за месяц, наиболее близкий к дате оценки, по депозитам со сроком привлечения, попадающим в тот же интервал, что и срок, оставшийся на отчетную дату до погашения оцениваемого депозита;</w:t>
      </w:r>
    </w:p>
    <w:p w14:paraId="1817BC44" w14:textId="77777777" w:rsidR="000C1E0E" w:rsidRDefault="00C74876" w:rsidP="000C1E0E">
      <w:pPr>
        <w:pStyle w:val="afc"/>
        <w:widowControl w:val="0"/>
        <w:spacing w:before="60" w:after="60" w:line="240" w:lineRule="auto"/>
        <w:ind w:left="709"/>
        <w:jc w:val="both"/>
        <w:outlineLvl w:val="1"/>
        <w:rPr>
          <w:rFonts w:ascii="Times New Roman" w:hAnsi="Times New Roman"/>
          <w:sz w:val="24"/>
          <w:szCs w:val="24"/>
        </w:rPr>
      </w:pPr>
      <m:oMath>
        <m:sSub>
          <m:sSubPr>
            <m:ctrlPr>
              <w:rPr>
                <w:rFonts w:ascii="Cambria Math" w:hAnsi="Cambria Math"/>
                <w:sz w:val="24"/>
                <w:szCs w:val="24"/>
              </w:rPr>
            </m:ctrlPr>
          </m:sSubPr>
          <m:e>
            <m:r>
              <m:rPr>
                <m:sty m:val="p"/>
              </m:rPr>
              <w:rPr>
                <w:rFonts w:ascii="Cambria Math" w:hAnsi="Cambria Math"/>
                <w:sz w:val="24"/>
                <w:szCs w:val="24"/>
              </w:rPr>
              <m:t>КС</m:t>
            </m:r>
          </m:e>
          <m:sub>
            <m:r>
              <m:rPr>
                <m:sty m:val="p"/>
              </m:rPr>
              <w:rPr>
                <w:rFonts w:ascii="Cambria Math" w:hAnsi="Cambria Math"/>
                <w:sz w:val="24"/>
                <w:szCs w:val="24"/>
              </w:rPr>
              <m:t>д.о.</m:t>
            </m:r>
          </m:sub>
        </m:sSub>
      </m:oMath>
      <w:r w:rsidR="000C1E0E">
        <w:rPr>
          <w:rFonts w:ascii="Times New Roman" w:hAnsi="Times New Roman"/>
          <w:sz w:val="24"/>
          <w:szCs w:val="24"/>
        </w:rPr>
        <w:t xml:space="preserve"> - ключевая ставка Банка России, установленная на дату оценки;</w:t>
      </w:r>
    </w:p>
    <w:p w14:paraId="619E35DF" w14:textId="77777777" w:rsidR="000C1E0E" w:rsidRDefault="00C74876" w:rsidP="000C1E0E">
      <w:pPr>
        <w:pStyle w:val="afc"/>
        <w:widowControl w:val="0"/>
        <w:spacing w:before="60" w:after="60" w:line="240" w:lineRule="auto"/>
        <w:ind w:left="709"/>
        <w:jc w:val="both"/>
        <w:outlineLvl w:val="1"/>
        <w:rPr>
          <w:rFonts w:ascii="Times New Roman" w:hAnsi="Times New Roman"/>
          <w:sz w:val="24"/>
          <w:szCs w:val="24"/>
        </w:rPr>
      </w:pPr>
      <m:oMath>
        <m:sSub>
          <m:sSubPr>
            <m:ctrlPr>
              <w:rPr>
                <w:rFonts w:ascii="Cambria Math" w:hAnsi="Cambria Math"/>
                <w:sz w:val="24"/>
                <w:szCs w:val="24"/>
              </w:rPr>
            </m:ctrlPr>
          </m:sSubPr>
          <m:e>
            <m:r>
              <m:rPr>
                <m:sty m:val="p"/>
              </m:rPr>
              <w:rPr>
                <w:rFonts w:ascii="Cambria Math" w:hAnsi="Cambria Math"/>
                <w:sz w:val="24"/>
                <w:szCs w:val="24"/>
              </w:rPr>
              <m:t>КС</m:t>
            </m:r>
          </m:e>
          <m:sub>
            <m:r>
              <m:rPr>
                <m:sty m:val="p"/>
              </m:rPr>
              <w:rPr>
                <w:rFonts w:ascii="Cambria Math" w:hAnsi="Cambria Math"/>
                <w:sz w:val="24"/>
                <w:szCs w:val="24"/>
              </w:rPr>
              <m:t>ср.</m:t>
            </m:r>
          </m:sub>
        </m:sSub>
      </m:oMath>
      <w:r w:rsidR="000C1E0E">
        <w:rPr>
          <w:rFonts w:ascii="Times New Roman" w:hAnsi="Times New Roman"/>
          <w:sz w:val="24"/>
          <w:szCs w:val="24"/>
        </w:rPr>
        <w:t xml:space="preserve">  - средняя ключевая ставка  Банка России за календарный месяц, за который определена ставка </w:t>
      </w:r>
      <m:oMath>
        <m:sSub>
          <m:sSubPr>
            <m:ctrlPr>
              <w:rPr>
                <w:rFonts w:ascii="Cambria Math" w:hAnsi="Cambria Math"/>
                <w:sz w:val="24"/>
                <w:szCs w:val="24"/>
              </w:rPr>
            </m:ctrlPr>
          </m:sSubPr>
          <m:e>
            <m:r>
              <w:rPr>
                <w:rFonts w:ascii="Cambria Math" w:hAnsi="Cambria Math"/>
                <w:sz w:val="24"/>
                <w:szCs w:val="24"/>
              </w:rPr>
              <m:t>r</m:t>
            </m:r>
          </m:e>
          <m:sub>
            <m:r>
              <m:rPr>
                <m:sty m:val="p"/>
              </m:rPr>
              <w:rPr>
                <w:rFonts w:ascii="Cambria Math" w:hAnsi="Cambria Math"/>
                <w:sz w:val="24"/>
                <w:szCs w:val="24"/>
              </w:rPr>
              <m:t>ср.рын.</m:t>
            </m:r>
          </m:sub>
        </m:sSub>
      </m:oMath>
      <w:r w:rsidR="000C1E0E">
        <w:rPr>
          <w:rFonts w:ascii="Times New Roman" w:hAnsi="Times New Roman"/>
          <w:sz w:val="24"/>
          <w:szCs w:val="24"/>
        </w:rPr>
        <w:t>.</w:t>
      </w:r>
    </w:p>
    <w:p w14:paraId="0D859C8F" w14:textId="68FDC6EF" w:rsidR="000C1E0E" w:rsidRDefault="000C1E0E" w:rsidP="000C1E0E">
      <w:pPr>
        <w:pStyle w:val="afc"/>
        <w:widowControl w:val="0"/>
        <w:spacing w:before="60" w:after="60" w:line="240" w:lineRule="auto"/>
        <w:ind w:left="709"/>
        <w:jc w:val="both"/>
        <w:outlineLvl w:val="1"/>
        <w:rPr>
          <w:rFonts w:ascii="Times New Roman" w:hAnsi="Times New Roman"/>
          <w:sz w:val="24"/>
          <w:szCs w:val="24"/>
        </w:rPr>
      </w:pPr>
      <w:r>
        <w:rPr>
          <w:rFonts w:ascii="Times New Roman" w:hAnsi="Times New Roman"/>
          <w:sz w:val="24"/>
          <w:szCs w:val="24"/>
        </w:rPr>
        <w:t>Средняя за календарный месяц ключевая ставка Банка России рассчитывается по формуле:</w:t>
      </w:r>
    </w:p>
    <w:p w14:paraId="59D3C6AE" w14:textId="77777777" w:rsidR="000C1E0E" w:rsidRDefault="00C74876" w:rsidP="000C1E0E">
      <w:pPr>
        <w:widowControl w:val="0"/>
        <w:tabs>
          <w:tab w:val="left" w:pos="1985"/>
        </w:tabs>
        <w:spacing w:before="60" w:after="60" w:line="240" w:lineRule="auto"/>
        <w:ind w:left="709"/>
        <w:outlineLvl w:val="1"/>
        <w:rPr>
          <w:rFonts w:ascii="Times New Roman" w:hAnsi="Times New Roman"/>
          <w:sz w:val="24"/>
          <w:szCs w:val="24"/>
        </w:rPr>
      </w:pPr>
      <m:oMathPara>
        <m:oMath>
          <m:sSub>
            <m:sSubPr>
              <m:ctrlPr>
                <w:rPr>
                  <w:rFonts w:ascii="Cambria Math" w:hAnsi="Cambria Math"/>
                  <w:sz w:val="24"/>
                  <w:szCs w:val="24"/>
                </w:rPr>
              </m:ctrlPr>
            </m:sSubPr>
            <m:e>
              <m:r>
                <m:rPr>
                  <m:sty m:val="p"/>
                </m:rPr>
                <w:rPr>
                  <w:rFonts w:ascii="Cambria Math" w:hAnsi="Cambria Math"/>
                  <w:sz w:val="24"/>
                  <w:szCs w:val="24"/>
                </w:rPr>
                <m:t>КС</m:t>
              </m:r>
            </m:e>
            <m:sub>
              <m:r>
                <m:rPr>
                  <m:sty m:val="p"/>
                </m:rPr>
                <w:rPr>
                  <w:rFonts w:ascii="Cambria Math" w:hAnsi="Cambria Math"/>
                  <w:sz w:val="24"/>
                  <w:szCs w:val="24"/>
                </w:rPr>
                <m:t>ср.</m:t>
              </m:r>
            </m:sub>
          </m:sSub>
          <m:r>
            <m:rPr>
              <m:sty m:val="p"/>
            </m:rPr>
            <w:rPr>
              <w:rFonts w:ascii="Cambria Math" w:hAnsi="Cambria Math"/>
              <w:sz w:val="24"/>
              <w:szCs w:val="24"/>
            </w:rPr>
            <m:t>=</m:t>
          </m:r>
          <m:f>
            <m:fPr>
              <m:ctrlPr>
                <w:rPr>
                  <w:rFonts w:ascii="Cambria Math" w:hAnsi="Cambria Math"/>
                  <w:sz w:val="24"/>
                  <w:szCs w:val="24"/>
                </w:rPr>
              </m:ctrlPr>
            </m:fPr>
            <m:num>
              <m:nary>
                <m:naryPr>
                  <m:chr m:val="∑"/>
                  <m:limLoc m:val="undOvr"/>
                  <m:supHide m:val="1"/>
                  <m:ctrlPr>
                    <w:rPr>
                      <w:rFonts w:ascii="Cambria Math" w:hAnsi="Cambria Math"/>
                      <w:sz w:val="24"/>
                      <w:szCs w:val="24"/>
                    </w:rPr>
                  </m:ctrlPr>
                </m:naryPr>
                <m:sub>
                  <m:r>
                    <w:rPr>
                      <w:rFonts w:ascii="Cambria Math" w:hAnsi="Cambria Math"/>
                      <w:sz w:val="24"/>
                      <w:szCs w:val="24"/>
                    </w:rPr>
                    <m:t>i</m:t>
                  </m:r>
                </m:sub>
                <m:sup/>
                <m:e>
                  <m:sSub>
                    <m:sSubPr>
                      <m:ctrlPr>
                        <w:rPr>
                          <w:rFonts w:ascii="Cambria Math" w:hAnsi="Cambria Math"/>
                          <w:sz w:val="24"/>
                          <w:szCs w:val="24"/>
                        </w:rPr>
                      </m:ctrlPr>
                    </m:sSubPr>
                    <m:e>
                      <m:r>
                        <m:rPr>
                          <m:sty m:val="p"/>
                        </m:rPr>
                        <w:rPr>
                          <w:rFonts w:ascii="Cambria Math" w:hAnsi="Cambria Math"/>
                          <w:sz w:val="24"/>
                          <w:szCs w:val="24"/>
                        </w:rPr>
                        <m:t>КС</m:t>
                      </m:r>
                    </m:e>
                    <m:sub>
                      <m:r>
                        <w:rPr>
                          <w:rFonts w:ascii="Cambria Math" w:hAnsi="Cambria Math"/>
                          <w:sz w:val="24"/>
                          <w:szCs w:val="24"/>
                        </w:rPr>
                        <m:t>i</m:t>
                      </m:r>
                    </m:sub>
                  </m:sSub>
                  <m:r>
                    <m:rPr>
                      <m:sty m:val="p"/>
                    </m:rPr>
                    <w:rPr>
                      <w:rFonts w:ascii="Cambria Math" w:hAnsi="Cambria Math"/>
                      <w:sz w:val="24"/>
                      <w:szCs w:val="24"/>
                    </w:rPr>
                    <m:t>*</m:t>
                  </m:r>
                  <m:sSub>
                    <m:sSubPr>
                      <m:ctrlPr>
                        <w:rPr>
                          <w:rFonts w:ascii="Cambria Math" w:hAnsi="Cambria Math"/>
                          <w:sz w:val="24"/>
                          <w:szCs w:val="24"/>
                        </w:rPr>
                      </m:ctrlPr>
                    </m:sSubPr>
                    <m:e>
                      <m:r>
                        <w:rPr>
                          <w:rFonts w:ascii="Cambria Math" w:hAnsi="Cambria Math"/>
                          <w:sz w:val="24"/>
                          <w:szCs w:val="24"/>
                        </w:rPr>
                        <m:t>T</m:t>
                      </m:r>
                    </m:e>
                    <m:sub>
                      <m:r>
                        <w:rPr>
                          <w:rFonts w:ascii="Cambria Math" w:hAnsi="Cambria Math"/>
                          <w:sz w:val="24"/>
                          <w:szCs w:val="24"/>
                        </w:rPr>
                        <m:t>i</m:t>
                      </m:r>
                    </m:sub>
                  </m:sSub>
                </m:e>
              </m:nary>
            </m:num>
            <m:den>
              <m:r>
                <w:rPr>
                  <w:rFonts w:ascii="Cambria Math" w:hAnsi="Cambria Math"/>
                  <w:sz w:val="24"/>
                  <w:szCs w:val="24"/>
                </w:rPr>
                <m:t>T</m:t>
              </m:r>
            </m:den>
          </m:f>
          <m:r>
            <m:rPr>
              <m:sty m:val="p"/>
            </m:rPr>
            <w:rPr>
              <w:rFonts w:ascii="Cambria Math" w:hAnsi="Cambria Math"/>
              <w:sz w:val="24"/>
              <w:szCs w:val="24"/>
            </w:rPr>
            <m:t>,</m:t>
          </m:r>
        </m:oMath>
      </m:oMathPara>
    </w:p>
    <w:p w14:paraId="2C79EBE9" w14:textId="77777777" w:rsidR="000C1E0E" w:rsidRDefault="000C1E0E" w:rsidP="000C1E0E">
      <w:pPr>
        <w:pStyle w:val="afc"/>
        <w:widowControl w:val="0"/>
        <w:spacing w:before="60" w:after="60" w:line="240" w:lineRule="auto"/>
        <w:ind w:left="709"/>
        <w:jc w:val="both"/>
        <w:outlineLvl w:val="1"/>
        <w:rPr>
          <w:rFonts w:ascii="Times New Roman" w:hAnsi="Times New Roman"/>
          <w:sz w:val="24"/>
          <w:szCs w:val="24"/>
        </w:rPr>
      </w:pPr>
      <w:r>
        <w:rPr>
          <w:rFonts w:ascii="Times New Roman" w:hAnsi="Times New Roman"/>
          <w:sz w:val="24"/>
          <w:szCs w:val="24"/>
        </w:rPr>
        <w:t>где:</w:t>
      </w:r>
    </w:p>
    <w:p w14:paraId="5C5C164B" w14:textId="77777777" w:rsidR="000C1E0E" w:rsidRDefault="000C1E0E" w:rsidP="000C1E0E">
      <w:pPr>
        <w:pStyle w:val="afc"/>
        <w:widowControl w:val="0"/>
        <w:spacing w:before="60" w:after="60" w:line="240" w:lineRule="auto"/>
        <w:ind w:left="709"/>
        <w:jc w:val="both"/>
        <w:outlineLvl w:val="1"/>
        <w:rPr>
          <w:rFonts w:ascii="Times New Roman" w:hAnsi="Times New Roman"/>
          <w:sz w:val="24"/>
          <w:szCs w:val="24"/>
        </w:rPr>
      </w:pPr>
      <m:oMath>
        <m:r>
          <m:rPr>
            <m:sty m:val="p"/>
          </m:rPr>
          <w:rPr>
            <w:rFonts w:ascii="Cambria Math" w:hAnsi="Cambria Math"/>
            <w:sz w:val="24"/>
            <w:szCs w:val="24"/>
          </w:rPr>
          <m:t>T</m:t>
        </m:r>
      </m:oMath>
      <w:r>
        <w:rPr>
          <w:rFonts w:ascii="Times New Roman" w:hAnsi="Times New Roman"/>
          <w:sz w:val="24"/>
          <w:szCs w:val="24"/>
        </w:rPr>
        <w:t xml:space="preserve"> - количество дней в календарном месяце, за который рассчитывается процентная ставка;</w:t>
      </w:r>
    </w:p>
    <w:p w14:paraId="53D0347B" w14:textId="77777777" w:rsidR="000C1E0E" w:rsidRDefault="00C74876" w:rsidP="000C1E0E">
      <w:pPr>
        <w:pStyle w:val="afc"/>
        <w:widowControl w:val="0"/>
        <w:spacing w:before="60" w:after="60" w:line="240" w:lineRule="auto"/>
        <w:ind w:left="709"/>
        <w:jc w:val="both"/>
        <w:outlineLvl w:val="1"/>
        <w:rPr>
          <w:rFonts w:ascii="Times New Roman" w:hAnsi="Times New Roman"/>
          <w:sz w:val="24"/>
          <w:szCs w:val="24"/>
        </w:rPr>
      </w:pPr>
      <m:oMath>
        <m:sSub>
          <m:sSubPr>
            <m:ctrlPr>
              <w:rPr>
                <w:rFonts w:ascii="Cambria Math" w:hAnsi="Cambria Math"/>
                <w:sz w:val="24"/>
                <w:szCs w:val="24"/>
              </w:rPr>
            </m:ctrlPr>
          </m:sSubPr>
          <m:e>
            <m:r>
              <m:rPr>
                <m:sty m:val="p"/>
              </m:rPr>
              <w:rPr>
                <w:rFonts w:ascii="Cambria Math" w:hAnsi="Cambria Math"/>
                <w:sz w:val="24"/>
                <w:szCs w:val="24"/>
              </w:rPr>
              <m:t>КС</m:t>
            </m:r>
          </m:e>
          <m:sub>
            <m:r>
              <w:rPr>
                <w:rFonts w:ascii="Cambria Math" w:hAnsi="Cambria Math"/>
                <w:sz w:val="24"/>
                <w:szCs w:val="24"/>
              </w:rPr>
              <m:t>i</m:t>
            </m:r>
          </m:sub>
        </m:sSub>
      </m:oMath>
      <w:r w:rsidR="000C1E0E">
        <w:rPr>
          <w:rFonts w:ascii="Times New Roman" w:hAnsi="Times New Roman"/>
          <w:sz w:val="24"/>
          <w:szCs w:val="24"/>
        </w:rPr>
        <w:t xml:space="preserve"> - ключевая ставка Банка России, действовавшая в i-ом периоде календарного месяца,</w:t>
      </w:r>
    </w:p>
    <w:p w14:paraId="757A2879" w14:textId="77777777" w:rsidR="000C1E0E" w:rsidRDefault="00C74876" w:rsidP="000C1E0E">
      <w:pPr>
        <w:pStyle w:val="afc"/>
        <w:widowControl w:val="0"/>
        <w:spacing w:before="60" w:after="60" w:line="240" w:lineRule="auto"/>
        <w:ind w:left="709"/>
        <w:jc w:val="both"/>
        <w:outlineLvl w:val="1"/>
        <w:rPr>
          <w:rFonts w:ascii="Times New Roman" w:hAnsi="Times New Roman"/>
          <w:sz w:val="24"/>
          <w:szCs w:val="24"/>
        </w:rPr>
      </w:pPr>
      <m:oMath>
        <m:sSub>
          <m:sSubPr>
            <m:ctrlPr>
              <w:rPr>
                <w:rFonts w:ascii="Cambria Math" w:hAnsi="Cambria Math"/>
                <w:sz w:val="24"/>
                <w:szCs w:val="24"/>
              </w:rPr>
            </m:ctrlPr>
          </m:sSubPr>
          <m:e>
            <m:r>
              <w:rPr>
                <w:rFonts w:ascii="Cambria Math" w:hAnsi="Cambria Math"/>
                <w:sz w:val="24"/>
                <w:szCs w:val="24"/>
              </w:rPr>
              <m:t>T</m:t>
            </m:r>
          </m:e>
          <m:sub>
            <m:r>
              <w:rPr>
                <w:rFonts w:ascii="Cambria Math" w:hAnsi="Cambria Math"/>
                <w:sz w:val="24"/>
                <w:szCs w:val="24"/>
              </w:rPr>
              <m:t>i</m:t>
            </m:r>
          </m:sub>
        </m:sSub>
      </m:oMath>
      <w:r w:rsidR="000C1E0E">
        <w:rPr>
          <w:rFonts w:ascii="Times New Roman" w:hAnsi="Times New Roman"/>
          <w:sz w:val="24"/>
          <w:szCs w:val="24"/>
        </w:rPr>
        <w:t xml:space="preserve">  - количество дней календарного месяца, в течение которых действовала процентная ставка </w:t>
      </w:r>
      <m:oMath>
        <m:sSub>
          <m:sSubPr>
            <m:ctrlPr>
              <w:rPr>
                <w:rFonts w:ascii="Cambria Math" w:hAnsi="Cambria Math"/>
                <w:sz w:val="24"/>
                <w:szCs w:val="24"/>
              </w:rPr>
            </m:ctrlPr>
          </m:sSubPr>
          <m:e>
            <m:r>
              <m:rPr>
                <m:sty m:val="p"/>
              </m:rPr>
              <w:rPr>
                <w:rFonts w:ascii="Cambria Math" w:hAnsi="Cambria Math"/>
                <w:sz w:val="24"/>
                <w:szCs w:val="24"/>
              </w:rPr>
              <m:t>КС</m:t>
            </m:r>
          </m:e>
          <m:sub>
            <m:r>
              <w:rPr>
                <w:rFonts w:ascii="Cambria Math" w:hAnsi="Cambria Math"/>
                <w:sz w:val="24"/>
                <w:szCs w:val="24"/>
              </w:rPr>
              <m:t>i</m:t>
            </m:r>
          </m:sub>
        </m:sSub>
      </m:oMath>
      <w:r w:rsidR="000C1E0E">
        <w:rPr>
          <w:rFonts w:ascii="Times New Roman" w:hAnsi="Times New Roman"/>
          <w:sz w:val="24"/>
          <w:szCs w:val="24"/>
        </w:rPr>
        <w:t>.</w:t>
      </w:r>
    </w:p>
    <w:p w14:paraId="6A6FA955" w14:textId="77777777" w:rsidR="000C1E0E" w:rsidRDefault="000C1E0E" w:rsidP="000C1E0E">
      <w:pPr>
        <w:pStyle w:val="afc"/>
        <w:widowControl w:val="0"/>
        <w:spacing w:before="60" w:after="60" w:line="240" w:lineRule="auto"/>
        <w:ind w:left="709"/>
        <w:jc w:val="both"/>
        <w:outlineLvl w:val="1"/>
        <w:rPr>
          <w:rFonts w:ascii="Times New Roman" w:hAnsi="Times New Roman"/>
          <w:sz w:val="24"/>
          <w:szCs w:val="24"/>
        </w:rPr>
      </w:pPr>
      <w:r>
        <w:rPr>
          <w:rFonts w:ascii="Times New Roman" w:hAnsi="Times New Roman"/>
          <w:sz w:val="24"/>
          <w:szCs w:val="24"/>
        </w:rPr>
        <w:t>В том случае, если процентная ставка по рублевому депозиту признается рыночной, в качестве выбранной рыночной ставки признается ставка по депозитному договору.</w:t>
      </w:r>
    </w:p>
    <w:p w14:paraId="58C019FD" w14:textId="77777777" w:rsidR="000C1E0E" w:rsidRDefault="000C1E0E" w:rsidP="000C1E0E">
      <w:pPr>
        <w:pStyle w:val="afc"/>
        <w:widowControl w:val="0"/>
        <w:spacing w:before="60" w:after="60" w:line="240" w:lineRule="auto"/>
        <w:ind w:left="709"/>
        <w:jc w:val="both"/>
        <w:outlineLvl w:val="1"/>
        <w:rPr>
          <w:rFonts w:ascii="Times New Roman" w:hAnsi="Times New Roman"/>
          <w:sz w:val="24"/>
          <w:szCs w:val="24"/>
        </w:rPr>
      </w:pPr>
      <w:r>
        <w:rPr>
          <w:rFonts w:ascii="Times New Roman" w:hAnsi="Times New Roman"/>
          <w:sz w:val="24"/>
          <w:szCs w:val="24"/>
        </w:rPr>
        <w:t>В том случае, если процентная ставка по рублевому депозиту не признается рыночной, в качестве рыночной признается ставка</w:t>
      </w:r>
      <m:oMath>
        <m:r>
          <m:rPr>
            <m:sty m:val="p"/>
          </m:rPr>
          <w:rPr>
            <w:rFonts w:ascii="Cambria Math" w:hAnsi="Cambria Math"/>
            <w:sz w:val="24"/>
            <w:szCs w:val="24"/>
          </w:rPr>
          <m:t xml:space="preserve"> </m:t>
        </m:r>
        <m:sSub>
          <m:sSubPr>
            <m:ctrlPr>
              <w:rPr>
                <w:rFonts w:ascii="Cambria Math" w:hAnsi="Cambria Math"/>
                <w:sz w:val="24"/>
                <w:szCs w:val="24"/>
              </w:rPr>
            </m:ctrlPr>
          </m:sSubPr>
          <m:e>
            <m:r>
              <w:rPr>
                <w:rFonts w:ascii="Cambria Math" w:hAnsi="Cambria Math"/>
                <w:sz w:val="24"/>
                <w:szCs w:val="24"/>
              </w:rPr>
              <m:t>r</m:t>
            </m:r>
          </m:e>
          <m:sub>
            <m:r>
              <m:rPr>
                <m:sty m:val="p"/>
              </m:rPr>
              <w:rPr>
                <w:rFonts w:ascii="Cambria Math" w:hAnsi="Cambria Math"/>
                <w:sz w:val="24"/>
                <w:szCs w:val="24"/>
              </w:rPr>
              <m:t>оц.ср.рын.</m:t>
            </m:r>
          </m:sub>
        </m:sSub>
      </m:oMath>
      <w:r>
        <w:rPr>
          <w:rFonts w:ascii="Times New Roman" w:hAnsi="Times New Roman"/>
          <w:sz w:val="24"/>
          <w:szCs w:val="24"/>
        </w:rPr>
        <w:t>.</w:t>
      </w:r>
    </w:p>
    <w:p w14:paraId="5CB1DF44" w14:textId="77777777" w:rsidR="000C1E0E" w:rsidRDefault="000C1E0E" w:rsidP="000C1E0E">
      <w:pPr>
        <w:pStyle w:val="afc"/>
        <w:widowControl w:val="0"/>
        <w:spacing w:before="60" w:after="60" w:line="240" w:lineRule="auto"/>
        <w:ind w:left="709"/>
        <w:jc w:val="both"/>
        <w:outlineLvl w:val="1"/>
        <w:rPr>
          <w:rFonts w:ascii="Times New Roman" w:hAnsi="Times New Roman"/>
          <w:sz w:val="24"/>
          <w:szCs w:val="24"/>
        </w:rPr>
      </w:pPr>
      <w:r>
        <w:rPr>
          <w:rFonts w:ascii="Times New Roman" w:hAnsi="Times New Roman"/>
          <w:sz w:val="24"/>
          <w:szCs w:val="24"/>
        </w:rPr>
        <w:t>Процентная ставка по депозиту в долларах США или Евро признается рыночной, если выполнено условие:</w:t>
      </w:r>
    </w:p>
    <w:p w14:paraId="2ECF242C" w14:textId="77777777" w:rsidR="000C1E0E" w:rsidRDefault="00C74876" w:rsidP="000C1E0E">
      <w:pPr>
        <w:pStyle w:val="afc"/>
        <w:widowControl w:val="0"/>
        <w:spacing w:before="60" w:after="60" w:line="240" w:lineRule="auto"/>
        <w:ind w:left="2127"/>
        <w:jc w:val="both"/>
        <w:outlineLvl w:val="1"/>
        <w:rPr>
          <w:rFonts w:ascii="Times New Roman" w:hAnsi="Times New Roman"/>
          <w:sz w:val="24"/>
          <w:szCs w:val="24"/>
        </w:rPr>
      </w:pPr>
      <m:oMath>
        <m:sSub>
          <m:sSubPr>
            <m:ctrlPr>
              <w:rPr>
                <w:rFonts w:ascii="Cambria Math" w:hAnsi="Cambria Math"/>
                <w:sz w:val="24"/>
                <w:szCs w:val="24"/>
              </w:rPr>
            </m:ctrlPr>
          </m:sSubPr>
          <m:e>
            <m:r>
              <w:rPr>
                <w:rFonts w:ascii="Cambria Math" w:hAnsi="Cambria Math"/>
                <w:sz w:val="24"/>
                <w:szCs w:val="24"/>
              </w:rPr>
              <m:t>r</m:t>
            </m:r>
          </m:e>
          <m:sub>
            <m:r>
              <m:rPr>
                <m:sty m:val="p"/>
              </m:rPr>
              <w:rPr>
                <w:rFonts w:ascii="Cambria Math" w:hAnsi="Cambria Math"/>
                <w:sz w:val="24"/>
                <w:szCs w:val="24"/>
              </w:rPr>
              <m:t>ср.рын.</m:t>
            </m:r>
          </m:sub>
        </m:sSub>
        <m:r>
          <m:rPr>
            <m:sty m:val="p"/>
          </m:rPr>
          <w:rPr>
            <w:rFonts w:ascii="Cambria Math" w:hAnsi="Cambria Math"/>
            <w:sz w:val="24"/>
            <w:szCs w:val="24"/>
          </w:rPr>
          <m:t>*(1-</m:t>
        </m:r>
        <m:r>
          <w:rPr>
            <w:rFonts w:ascii="Cambria Math" w:hAnsi="Cambria Math"/>
            <w:sz w:val="24"/>
            <w:szCs w:val="24"/>
          </w:rPr>
          <m:t>KV</m:t>
        </m:r>
        <m:r>
          <m:rPr>
            <m:sty m:val="p"/>
          </m:rPr>
          <w:rPr>
            <w:rFonts w:ascii="Cambria Math" w:hAnsi="Cambria Math"/>
            <w:sz w:val="24"/>
            <w:szCs w:val="24"/>
          </w:rPr>
          <m:t>)</m:t>
        </m:r>
        <m:sSub>
          <m:sSubPr>
            <m:ctrlPr>
              <w:rPr>
                <w:rFonts w:ascii="Cambria Math" w:hAnsi="Cambria Math"/>
                <w:sz w:val="24"/>
                <w:szCs w:val="24"/>
              </w:rPr>
            </m:ctrlPr>
          </m:sSubPr>
          <m:e>
            <m:r>
              <m:rPr>
                <m:sty m:val="p"/>
              </m:rPr>
              <w:rPr>
                <w:rFonts w:ascii="Cambria Math" w:hAnsi="Cambria Math"/>
                <w:sz w:val="24"/>
                <w:szCs w:val="24"/>
              </w:rPr>
              <m:t>≤</m:t>
            </m:r>
            <m:r>
              <w:rPr>
                <w:rFonts w:ascii="Cambria Math" w:hAnsi="Cambria Math"/>
                <w:sz w:val="24"/>
                <w:szCs w:val="24"/>
              </w:rPr>
              <m:t>r</m:t>
            </m:r>
          </m:e>
          <m:sub>
            <m:r>
              <m:rPr>
                <m:sty m:val="p"/>
              </m:rPr>
              <w:rPr>
                <w:rFonts w:ascii="Cambria Math" w:hAnsi="Cambria Math"/>
                <w:sz w:val="24"/>
                <w:szCs w:val="24"/>
              </w:rPr>
              <m:t>деп</m:t>
            </m:r>
          </m:sub>
        </m:sSub>
        <m:r>
          <m:rPr>
            <m:sty m:val="p"/>
          </m:rPr>
          <w:rPr>
            <w:rFonts w:ascii="Cambria Math" w:hAnsi="Cambria Math"/>
            <w:sz w:val="24"/>
            <w:szCs w:val="24"/>
          </w:rPr>
          <m:t>≤</m:t>
        </m:r>
        <m:sSub>
          <m:sSubPr>
            <m:ctrlPr>
              <w:rPr>
                <w:rFonts w:ascii="Cambria Math" w:hAnsi="Cambria Math"/>
                <w:sz w:val="24"/>
                <w:szCs w:val="24"/>
              </w:rPr>
            </m:ctrlPr>
          </m:sSubPr>
          <m:e>
            <m:r>
              <w:rPr>
                <w:rFonts w:ascii="Cambria Math" w:hAnsi="Cambria Math"/>
                <w:sz w:val="24"/>
                <w:szCs w:val="24"/>
              </w:rPr>
              <m:t>r</m:t>
            </m:r>
          </m:e>
          <m:sub>
            <m:r>
              <m:rPr>
                <m:sty m:val="p"/>
              </m:rPr>
              <w:rPr>
                <w:rFonts w:ascii="Cambria Math" w:hAnsi="Cambria Math"/>
                <w:sz w:val="24"/>
                <w:szCs w:val="24"/>
              </w:rPr>
              <m:t>ср.рын.</m:t>
            </m:r>
          </m:sub>
        </m:sSub>
        <m:r>
          <m:rPr>
            <m:sty m:val="p"/>
          </m:rPr>
          <w:rPr>
            <w:rFonts w:ascii="Cambria Math" w:hAnsi="Cambria Math"/>
            <w:sz w:val="24"/>
            <w:szCs w:val="24"/>
          </w:rPr>
          <m:t>*(1+</m:t>
        </m:r>
        <m:r>
          <w:rPr>
            <w:rFonts w:ascii="Cambria Math" w:hAnsi="Cambria Math"/>
            <w:sz w:val="24"/>
            <w:szCs w:val="24"/>
          </w:rPr>
          <m:t>KV</m:t>
        </m:r>
        <m:r>
          <m:rPr>
            <m:sty m:val="p"/>
          </m:rPr>
          <w:rPr>
            <w:rFonts w:ascii="Cambria Math" w:hAnsi="Cambria Math"/>
            <w:sz w:val="24"/>
            <w:szCs w:val="24"/>
          </w:rPr>
          <m:t>)</m:t>
        </m:r>
      </m:oMath>
      <w:r w:rsidR="000C1E0E">
        <w:rPr>
          <w:rFonts w:ascii="Times New Roman" w:hAnsi="Times New Roman"/>
          <w:sz w:val="24"/>
          <w:szCs w:val="24"/>
        </w:rPr>
        <w:t>,</w:t>
      </w:r>
    </w:p>
    <w:p w14:paraId="5BAB781C" w14:textId="77777777" w:rsidR="000C1E0E" w:rsidRDefault="000C1E0E" w:rsidP="000C1E0E">
      <w:pPr>
        <w:pStyle w:val="afc"/>
        <w:widowControl w:val="0"/>
        <w:spacing w:before="60" w:after="60" w:line="240" w:lineRule="auto"/>
        <w:ind w:left="709"/>
        <w:jc w:val="both"/>
        <w:outlineLvl w:val="1"/>
        <w:rPr>
          <w:rFonts w:ascii="Times New Roman" w:hAnsi="Times New Roman"/>
          <w:sz w:val="24"/>
          <w:szCs w:val="24"/>
        </w:rPr>
      </w:pPr>
      <w:r>
        <w:rPr>
          <w:rFonts w:ascii="Times New Roman" w:hAnsi="Times New Roman"/>
          <w:sz w:val="24"/>
          <w:szCs w:val="24"/>
        </w:rPr>
        <w:t>где:</w:t>
      </w:r>
    </w:p>
    <w:p w14:paraId="5C2BB8FD" w14:textId="77777777" w:rsidR="000C1E0E" w:rsidRDefault="000C1E0E" w:rsidP="000C1E0E">
      <w:pPr>
        <w:pStyle w:val="afc"/>
        <w:widowControl w:val="0"/>
        <w:spacing w:before="60" w:after="60" w:line="240" w:lineRule="auto"/>
        <w:ind w:left="709"/>
        <w:jc w:val="both"/>
        <w:outlineLvl w:val="1"/>
        <w:rPr>
          <w:rFonts w:ascii="Times New Roman" w:hAnsi="Times New Roman"/>
          <w:sz w:val="24"/>
          <w:szCs w:val="24"/>
        </w:rPr>
      </w:pPr>
      <w:r>
        <w:rPr>
          <w:rFonts w:ascii="Times New Roman" w:hAnsi="Times New Roman"/>
          <w:sz w:val="24"/>
          <w:szCs w:val="24"/>
        </w:rPr>
        <w:t xml:space="preserve">KV – коэффициент волатильности рыночной ставки за последние 12 месяцев, определяемый по соответствующим средневзвешенным ставкам </w:t>
      </w:r>
      <m:oMath>
        <m:sSub>
          <m:sSubPr>
            <m:ctrlPr>
              <w:rPr>
                <w:rFonts w:ascii="Cambria Math" w:hAnsi="Cambria Math"/>
                <w:sz w:val="24"/>
                <w:szCs w:val="24"/>
              </w:rPr>
            </m:ctrlPr>
          </m:sSubPr>
          <m:e>
            <m:r>
              <w:rPr>
                <w:rFonts w:ascii="Cambria Math" w:hAnsi="Cambria Math"/>
                <w:sz w:val="24"/>
                <w:szCs w:val="24"/>
              </w:rPr>
              <m:t>r</m:t>
            </m:r>
          </m:e>
          <m:sub>
            <m:r>
              <m:rPr>
                <m:sty m:val="p"/>
              </m:rPr>
              <w:rPr>
                <w:rFonts w:ascii="Cambria Math" w:hAnsi="Cambria Math"/>
                <w:sz w:val="24"/>
                <w:szCs w:val="24"/>
              </w:rPr>
              <m:t>ср.рын.</m:t>
            </m:r>
          </m:sub>
        </m:sSub>
      </m:oMath>
      <w:r>
        <w:rPr>
          <w:rFonts w:ascii="Times New Roman" w:hAnsi="Times New Roman"/>
          <w:sz w:val="24"/>
          <w:szCs w:val="24"/>
        </w:rPr>
        <w:t xml:space="preserve">, аналогично определению коэффициента волатильности по рублевым ставкам;      </w:t>
      </w:r>
      <m:oMath>
        <m:sSub>
          <m:sSubPr>
            <m:ctrlPr>
              <w:rPr>
                <w:rFonts w:ascii="Cambria Math" w:hAnsi="Cambria Math"/>
                <w:sz w:val="24"/>
                <w:szCs w:val="24"/>
              </w:rPr>
            </m:ctrlPr>
          </m:sSubPr>
          <m:e>
            <m:r>
              <w:rPr>
                <w:rFonts w:ascii="Cambria Math" w:hAnsi="Cambria Math"/>
                <w:sz w:val="24"/>
                <w:szCs w:val="24"/>
              </w:rPr>
              <m:t>r</m:t>
            </m:r>
          </m:e>
          <m:sub>
            <m:r>
              <m:rPr>
                <m:sty m:val="p"/>
              </m:rPr>
              <w:rPr>
                <w:rFonts w:ascii="Cambria Math" w:hAnsi="Cambria Math"/>
                <w:sz w:val="24"/>
                <w:szCs w:val="24"/>
              </w:rPr>
              <m:t>деп</m:t>
            </m:r>
          </m:sub>
        </m:sSub>
      </m:oMath>
      <w:r>
        <w:rPr>
          <w:rFonts w:ascii="Times New Roman" w:hAnsi="Times New Roman"/>
          <w:sz w:val="24"/>
          <w:szCs w:val="24"/>
        </w:rPr>
        <w:t xml:space="preserve"> - ставка по депозиту в процентах;</w:t>
      </w:r>
    </w:p>
    <w:p w14:paraId="1464B48E" w14:textId="77777777" w:rsidR="000C1E0E" w:rsidRDefault="00C74876" w:rsidP="000C1E0E">
      <w:pPr>
        <w:pStyle w:val="afc"/>
        <w:widowControl w:val="0"/>
        <w:spacing w:before="60" w:after="60" w:line="240" w:lineRule="auto"/>
        <w:ind w:left="709"/>
        <w:jc w:val="both"/>
        <w:outlineLvl w:val="1"/>
        <w:rPr>
          <w:rFonts w:ascii="Times New Roman" w:hAnsi="Times New Roman"/>
          <w:sz w:val="24"/>
          <w:szCs w:val="24"/>
        </w:rPr>
      </w:pPr>
      <m:oMath>
        <m:sSub>
          <m:sSubPr>
            <m:ctrlPr>
              <w:rPr>
                <w:rFonts w:ascii="Cambria Math" w:hAnsi="Cambria Math"/>
                <w:sz w:val="24"/>
                <w:szCs w:val="24"/>
              </w:rPr>
            </m:ctrlPr>
          </m:sSubPr>
          <m:e>
            <m:r>
              <w:rPr>
                <w:rFonts w:ascii="Cambria Math" w:hAnsi="Cambria Math"/>
                <w:sz w:val="24"/>
                <w:szCs w:val="24"/>
              </w:rPr>
              <m:t>r</m:t>
            </m:r>
          </m:e>
          <m:sub>
            <m:r>
              <m:rPr>
                <m:sty m:val="p"/>
              </m:rPr>
              <w:rPr>
                <w:rFonts w:ascii="Cambria Math" w:hAnsi="Cambria Math"/>
                <w:sz w:val="24"/>
                <w:szCs w:val="24"/>
              </w:rPr>
              <m:t>ср.рын.</m:t>
            </m:r>
          </m:sub>
        </m:sSub>
      </m:oMath>
      <w:r w:rsidR="000C1E0E">
        <w:rPr>
          <w:rFonts w:ascii="Times New Roman" w:hAnsi="Times New Roman"/>
          <w:sz w:val="24"/>
          <w:szCs w:val="24"/>
        </w:rPr>
        <w:t xml:space="preserve"> - средневзвешенная процентная ставка по привлеченным кредитными организациями вкладам (депозитам) нефинансовых организаций в валюте, соответствующей валюте депозита, публикуемая на официальном сайте Банка России, за месяц, наиболее близкий к дате оценки, по депозитам со сроком привлечения, попадающим в тот же интервал, что и срок, оставшийся на отчетную дату до погашения оцениваемого депозита.</w:t>
      </w:r>
    </w:p>
    <w:p w14:paraId="766F5B9D" w14:textId="77777777" w:rsidR="000C1E0E" w:rsidRDefault="000C1E0E" w:rsidP="000C1E0E">
      <w:pPr>
        <w:pStyle w:val="afc"/>
        <w:widowControl w:val="0"/>
        <w:spacing w:before="60" w:after="60" w:line="240" w:lineRule="auto"/>
        <w:ind w:left="709"/>
        <w:jc w:val="both"/>
        <w:outlineLvl w:val="1"/>
        <w:rPr>
          <w:rFonts w:ascii="Times New Roman" w:hAnsi="Times New Roman"/>
          <w:sz w:val="24"/>
          <w:szCs w:val="24"/>
        </w:rPr>
      </w:pPr>
      <w:r>
        <w:rPr>
          <w:rFonts w:ascii="Times New Roman" w:hAnsi="Times New Roman"/>
          <w:sz w:val="24"/>
          <w:szCs w:val="24"/>
        </w:rPr>
        <w:t>В том случае, если процентная ставка по депозиту в долларах США или Евро, признается рыночной, в качестве выбранной рыночной ставки признается ставка по депозитному договору.</w:t>
      </w:r>
    </w:p>
    <w:p w14:paraId="291A806F" w14:textId="77777777" w:rsidR="000C1E0E" w:rsidRDefault="000C1E0E" w:rsidP="000C1E0E">
      <w:pPr>
        <w:pStyle w:val="afc"/>
        <w:widowControl w:val="0"/>
        <w:spacing w:before="60" w:after="60" w:line="240" w:lineRule="auto"/>
        <w:ind w:left="709"/>
        <w:jc w:val="both"/>
        <w:outlineLvl w:val="1"/>
        <w:rPr>
          <w:rFonts w:ascii="Times New Roman" w:hAnsi="Times New Roman"/>
          <w:sz w:val="24"/>
          <w:szCs w:val="24"/>
        </w:rPr>
      </w:pPr>
      <w:r>
        <w:rPr>
          <w:rFonts w:ascii="Times New Roman" w:hAnsi="Times New Roman"/>
          <w:sz w:val="24"/>
          <w:szCs w:val="24"/>
        </w:rPr>
        <w:t xml:space="preserve">В том случае, если процентная ставка по депозиту в долларах США или Евро, не признается рыночной, в качестве рыночной признается ставка </w:t>
      </w:r>
      <m:oMath>
        <m:sSub>
          <m:sSubPr>
            <m:ctrlPr>
              <w:rPr>
                <w:rFonts w:ascii="Cambria Math" w:hAnsi="Cambria Math"/>
                <w:sz w:val="24"/>
                <w:szCs w:val="24"/>
              </w:rPr>
            </m:ctrlPr>
          </m:sSubPr>
          <m:e>
            <m:r>
              <w:rPr>
                <w:rFonts w:ascii="Cambria Math" w:hAnsi="Cambria Math"/>
                <w:sz w:val="24"/>
                <w:szCs w:val="24"/>
              </w:rPr>
              <m:t>r</m:t>
            </m:r>
          </m:e>
          <m:sub>
            <m:r>
              <m:rPr>
                <m:sty m:val="p"/>
              </m:rPr>
              <w:rPr>
                <w:rFonts w:ascii="Cambria Math" w:hAnsi="Cambria Math"/>
                <w:sz w:val="24"/>
                <w:szCs w:val="24"/>
              </w:rPr>
              <m:t>ср.рын.</m:t>
            </m:r>
          </m:sub>
        </m:sSub>
      </m:oMath>
      <w:r>
        <w:rPr>
          <w:rFonts w:ascii="Times New Roman" w:hAnsi="Times New Roman"/>
          <w:sz w:val="24"/>
          <w:szCs w:val="24"/>
        </w:rPr>
        <w:t>.</w:t>
      </w:r>
    </w:p>
    <w:p w14:paraId="78BDF976" w14:textId="77777777" w:rsidR="000C1E0E" w:rsidRDefault="000C1E0E" w:rsidP="000C1E0E">
      <w:pPr>
        <w:widowControl w:val="0"/>
        <w:numPr>
          <w:ilvl w:val="2"/>
          <w:numId w:val="4"/>
        </w:numPr>
        <w:spacing w:before="60" w:after="60" w:line="240" w:lineRule="auto"/>
        <w:outlineLvl w:val="1"/>
        <w:rPr>
          <w:rFonts w:ascii="Times New Roman" w:hAnsi="Times New Roman"/>
          <w:sz w:val="24"/>
          <w:szCs w:val="24"/>
        </w:rPr>
      </w:pPr>
      <w:r>
        <w:rPr>
          <w:rFonts w:ascii="Times New Roman" w:hAnsi="Times New Roman"/>
          <w:sz w:val="24"/>
          <w:szCs w:val="24"/>
        </w:rPr>
        <w:t>В случае внесения изменений и дополнений в Правила определения СЧА в части изменения вида рыночной ставки для активов (обязательств), признанных до вступления в силу изменений и дополнений в Правила определения СЧА, новая рыночная ставка применяется с даты вступления в силу новых Правил определения СЧА.</w:t>
      </w:r>
    </w:p>
    <w:p w14:paraId="2B182D96" w14:textId="77777777" w:rsidR="000C1E0E" w:rsidRDefault="000C1E0E" w:rsidP="000C1E0E">
      <w:pPr>
        <w:widowControl w:val="0"/>
        <w:numPr>
          <w:ilvl w:val="2"/>
          <w:numId w:val="4"/>
        </w:numPr>
        <w:spacing w:before="60" w:after="60" w:line="240" w:lineRule="auto"/>
        <w:outlineLvl w:val="1"/>
        <w:rPr>
          <w:rFonts w:ascii="Times New Roman" w:hAnsi="Times New Roman"/>
          <w:sz w:val="24"/>
          <w:szCs w:val="24"/>
        </w:rPr>
      </w:pPr>
      <w:r>
        <w:rPr>
          <w:rFonts w:ascii="Times New Roman" w:hAnsi="Times New Roman"/>
          <w:sz w:val="24"/>
          <w:szCs w:val="24"/>
        </w:rPr>
        <w:t>Средневзвешенная ставка определяется в отношении каждого вида актива (обязательства) в соответствии со следующей таблицей:</w:t>
      </w:r>
    </w:p>
    <w:tbl>
      <w:tblPr>
        <w:tblStyle w:val="a5"/>
        <w:tblW w:w="9180" w:type="dxa"/>
        <w:tblInd w:w="704" w:type="dxa"/>
        <w:tblLayout w:type="fixed"/>
        <w:tblLook w:val="04A0" w:firstRow="1" w:lastRow="0" w:firstColumn="1" w:lastColumn="0" w:noHBand="0" w:noVBand="1"/>
      </w:tblPr>
      <w:tblGrid>
        <w:gridCol w:w="2125"/>
        <w:gridCol w:w="3687"/>
        <w:gridCol w:w="3368"/>
      </w:tblGrid>
      <w:tr w:rsidR="000C1E0E" w14:paraId="7E2CA2A7" w14:textId="77777777" w:rsidTr="0085143C">
        <w:tc>
          <w:tcPr>
            <w:tcW w:w="2125" w:type="dxa"/>
            <w:tcBorders>
              <w:top w:val="single" w:sz="4" w:space="0" w:color="auto"/>
              <w:left w:val="single" w:sz="4" w:space="0" w:color="auto"/>
              <w:bottom w:val="single" w:sz="4" w:space="0" w:color="auto"/>
              <w:right w:val="single" w:sz="4" w:space="0" w:color="auto"/>
            </w:tcBorders>
            <w:shd w:val="clear" w:color="auto" w:fill="FFFFFF"/>
            <w:hideMark/>
          </w:tcPr>
          <w:p w14:paraId="5999A7C9" w14:textId="77777777" w:rsidR="000C1E0E" w:rsidRDefault="000C1E0E" w:rsidP="0098752B">
            <w:pPr>
              <w:autoSpaceDE w:val="0"/>
              <w:autoSpaceDN w:val="0"/>
              <w:adjustRightInd w:val="0"/>
              <w:rPr>
                <w:rFonts w:ascii="Times New Roman" w:hAnsi="Times New Roman"/>
                <w:b/>
                <w:i/>
                <w:sz w:val="24"/>
                <w:szCs w:val="24"/>
              </w:rPr>
            </w:pPr>
            <w:r>
              <w:rPr>
                <w:rFonts w:ascii="Times New Roman" w:hAnsi="Times New Roman"/>
                <w:b/>
                <w:i/>
                <w:sz w:val="24"/>
                <w:szCs w:val="24"/>
              </w:rPr>
              <w:t>Вид актива/</w:t>
            </w:r>
          </w:p>
          <w:p w14:paraId="76C6B11E" w14:textId="77777777" w:rsidR="000C1E0E" w:rsidRDefault="000C1E0E" w:rsidP="0098752B">
            <w:pPr>
              <w:autoSpaceDE w:val="0"/>
              <w:autoSpaceDN w:val="0"/>
              <w:adjustRightInd w:val="0"/>
              <w:spacing w:line="276" w:lineRule="auto"/>
              <w:rPr>
                <w:rFonts w:ascii="Times New Roman" w:hAnsi="Times New Roman"/>
                <w:b/>
                <w:i/>
                <w:sz w:val="24"/>
                <w:szCs w:val="24"/>
              </w:rPr>
            </w:pPr>
            <w:r>
              <w:rPr>
                <w:rFonts w:ascii="Times New Roman" w:hAnsi="Times New Roman"/>
                <w:b/>
                <w:i/>
                <w:sz w:val="24"/>
                <w:szCs w:val="24"/>
              </w:rPr>
              <w:t>обязательства</w:t>
            </w:r>
          </w:p>
        </w:tc>
        <w:tc>
          <w:tcPr>
            <w:tcW w:w="3687" w:type="dxa"/>
            <w:tcBorders>
              <w:top w:val="single" w:sz="4" w:space="0" w:color="auto"/>
              <w:left w:val="single" w:sz="4" w:space="0" w:color="auto"/>
              <w:bottom w:val="single" w:sz="4" w:space="0" w:color="auto"/>
              <w:right w:val="single" w:sz="4" w:space="0" w:color="auto"/>
            </w:tcBorders>
            <w:shd w:val="clear" w:color="auto" w:fill="FFFFFF"/>
            <w:hideMark/>
          </w:tcPr>
          <w:p w14:paraId="3F85C9B4" w14:textId="77777777" w:rsidR="000C1E0E" w:rsidRDefault="000C1E0E" w:rsidP="0098752B">
            <w:pPr>
              <w:autoSpaceDE w:val="0"/>
              <w:autoSpaceDN w:val="0"/>
              <w:adjustRightInd w:val="0"/>
              <w:spacing w:line="276" w:lineRule="auto"/>
              <w:rPr>
                <w:rFonts w:ascii="Times New Roman" w:hAnsi="Times New Roman"/>
                <w:b/>
                <w:i/>
                <w:sz w:val="24"/>
                <w:szCs w:val="24"/>
              </w:rPr>
            </w:pPr>
            <w:r>
              <w:rPr>
                <w:rFonts w:ascii="Times New Roman" w:hAnsi="Times New Roman"/>
                <w:b/>
                <w:i/>
                <w:sz w:val="24"/>
                <w:szCs w:val="24"/>
              </w:rPr>
              <w:t>Средневзвешенная ставка</w:t>
            </w:r>
          </w:p>
        </w:tc>
        <w:tc>
          <w:tcPr>
            <w:tcW w:w="3368" w:type="dxa"/>
            <w:tcBorders>
              <w:top w:val="single" w:sz="4" w:space="0" w:color="auto"/>
              <w:left w:val="single" w:sz="4" w:space="0" w:color="auto"/>
              <w:bottom w:val="single" w:sz="4" w:space="0" w:color="auto"/>
              <w:right w:val="single" w:sz="4" w:space="0" w:color="auto"/>
            </w:tcBorders>
            <w:shd w:val="clear" w:color="auto" w:fill="FFFFFF"/>
            <w:hideMark/>
          </w:tcPr>
          <w:p w14:paraId="0A97D756" w14:textId="77777777" w:rsidR="000C1E0E" w:rsidRDefault="000C1E0E" w:rsidP="0098752B">
            <w:pPr>
              <w:autoSpaceDE w:val="0"/>
              <w:autoSpaceDN w:val="0"/>
              <w:adjustRightInd w:val="0"/>
              <w:spacing w:line="276" w:lineRule="auto"/>
              <w:rPr>
                <w:rFonts w:ascii="Times New Roman" w:hAnsi="Times New Roman"/>
                <w:b/>
                <w:i/>
                <w:sz w:val="24"/>
                <w:szCs w:val="24"/>
              </w:rPr>
            </w:pPr>
            <w:r>
              <w:rPr>
                <w:rFonts w:ascii="Times New Roman" w:hAnsi="Times New Roman"/>
                <w:b/>
                <w:i/>
                <w:sz w:val="24"/>
                <w:szCs w:val="24"/>
              </w:rPr>
              <w:t>Источники информации</w:t>
            </w:r>
          </w:p>
        </w:tc>
      </w:tr>
      <w:tr w:rsidR="000C1E0E" w14:paraId="2D516FD2" w14:textId="77777777" w:rsidTr="0085143C">
        <w:tc>
          <w:tcPr>
            <w:tcW w:w="2125" w:type="dxa"/>
            <w:tcBorders>
              <w:top w:val="single" w:sz="4" w:space="0" w:color="auto"/>
              <w:left w:val="single" w:sz="4" w:space="0" w:color="auto"/>
              <w:bottom w:val="single" w:sz="4" w:space="0" w:color="auto"/>
              <w:right w:val="single" w:sz="4" w:space="0" w:color="auto"/>
            </w:tcBorders>
            <w:hideMark/>
          </w:tcPr>
          <w:p w14:paraId="1168EB83" w14:textId="77777777" w:rsidR="000C1E0E" w:rsidRDefault="000C1E0E" w:rsidP="0098752B">
            <w:pPr>
              <w:spacing w:line="276" w:lineRule="auto"/>
              <w:rPr>
                <w:rFonts w:ascii="Times New Roman" w:hAnsi="Times New Roman"/>
                <w:sz w:val="24"/>
                <w:szCs w:val="24"/>
              </w:rPr>
            </w:pPr>
            <w:r>
              <w:rPr>
                <w:rFonts w:ascii="Times New Roman" w:hAnsi="Times New Roman"/>
                <w:sz w:val="24"/>
                <w:szCs w:val="24"/>
              </w:rPr>
              <w:t>Вклад (депозит)</w:t>
            </w:r>
          </w:p>
        </w:tc>
        <w:tc>
          <w:tcPr>
            <w:tcW w:w="3687" w:type="dxa"/>
            <w:tcBorders>
              <w:top w:val="single" w:sz="4" w:space="0" w:color="auto"/>
              <w:left w:val="single" w:sz="4" w:space="0" w:color="auto"/>
              <w:bottom w:val="single" w:sz="4" w:space="0" w:color="auto"/>
              <w:right w:val="single" w:sz="4" w:space="0" w:color="auto"/>
            </w:tcBorders>
            <w:hideMark/>
          </w:tcPr>
          <w:p w14:paraId="30E3F781" w14:textId="77777777" w:rsidR="0085143C" w:rsidRPr="00767D8F" w:rsidRDefault="000C1E0E" w:rsidP="0085143C">
            <w:pPr>
              <w:spacing w:line="276" w:lineRule="auto"/>
              <w:rPr>
                <w:rFonts w:ascii="Times New Roman" w:hAnsi="Times New Roman"/>
                <w:sz w:val="24"/>
                <w:szCs w:val="24"/>
              </w:rPr>
            </w:pPr>
            <w:r w:rsidRPr="00767D8F">
              <w:rPr>
                <w:rFonts w:ascii="Times New Roman" w:hAnsi="Times New Roman"/>
                <w:sz w:val="24"/>
                <w:szCs w:val="24"/>
              </w:rPr>
              <w:t>Средневзвешенная процентная ставки по привлеченным кредитными организациями вкладам (депозитам) нефинансовых организаций в рублях и иностранной валюте в целом по Российской Федерации, раскрываемая на официальном сайте Банка России.</w:t>
            </w:r>
            <w:r w:rsidR="0085143C" w:rsidRPr="00767D8F">
              <w:rPr>
                <w:rFonts w:ascii="Times New Roman" w:hAnsi="Times New Roman"/>
                <w:sz w:val="24"/>
                <w:szCs w:val="24"/>
              </w:rPr>
              <w:t xml:space="preserve"> </w:t>
            </w:r>
          </w:p>
          <w:p w14:paraId="011FCA66" w14:textId="6E392E87" w:rsidR="000C1E0E" w:rsidRPr="00767D8F" w:rsidRDefault="0085143C" w:rsidP="0085143C">
            <w:pPr>
              <w:spacing w:line="276" w:lineRule="auto"/>
              <w:rPr>
                <w:rFonts w:ascii="Times New Roman" w:hAnsi="Times New Roman"/>
                <w:sz w:val="24"/>
                <w:szCs w:val="24"/>
              </w:rPr>
            </w:pPr>
            <w:r w:rsidRPr="00767D8F">
              <w:rPr>
                <w:rFonts w:ascii="Times New Roman" w:hAnsi="Times New Roman"/>
                <w:sz w:val="24"/>
                <w:szCs w:val="24"/>
              </w:rPr>
              <w:t>Если Банк входит в перечень крупных системнообразующих банков, то ставка принимается равной ставке рефинансирования.</w:t>
            </w:r>
          </w:p>
        </w:tc>
        <w:tc>
          <w:tcPr>
            <w:tcW w:w="3368" w:type="dxa"/>
            <w:tcBorders>
              <w:top w:val="single" w:sz="4" w:space="0" w:color="auto"/>
              <w:left w:val="single" w:sz="4" w:space="0" w:color="auto"/>
              <w:bottom w:val="single" w:sz="4" w:space="0" w:color="auto"/>
              <w:right w:val="single" w:sz="4" w:space="0" w:color="auto"/>
            </w:tcBorders>
          </w:tcPr>
          <w:p w14:paraId="3BA45B4F" w14:textId="77777777" w:rsidR="000C1E0E" w:rsidRPr="00767D8F" w:rsidRDefault="000C1E0E" w:rsidP="000C1E0E">
            <w:pPr>
              <w:numPr>
                <w:ilvl w:val="0"/>
                <w:numId w:val="9"/>
              </w:numPr>
              <w:spacing w:line="276" w:lineRule="auto"/>
              <w:ind w:left="106" w:firstLine="0"/>
              <w:contextualSpacing/>
              <w:rPr>
                <w:rFonts w:ascii="Times New Roman" w:hAnsi="Times New Roman"/>
                <w:sz w:val="24"/>
                <w:szCs w:val="24"/>
              </w:rPr>
            </w:pPr>
            <w:r w:rsidRPr="00767D8F">
              <w:rPr>
                <w:rFonts w:ascii="Times New Roman" w:hAnsi="Times New Roman"/>
                <w:sz w:val="24"/>
                <w:szCs w:val="24"/>
              </w:rPr>
              <w:t xml:space="preserve">Официальный сайт Банка России </w:t>
            </w:r>
            <w:hyperlink r:id="rId27" w:history="1">
              <w:r w:rsidRPr="00767D8F">
                <w:rPr>
                  <w:rStyle w:val="a7"/>
                  <w:rFonts w:eastAsiaTheme="majorEastAsia"/>
                  <w:sz w:val="24"/>
                  <w:szCs w:val="24"/>
                </w:rPr>
                <w:t>http://www.cbr.ru/statistics/?PrtId=int_rat</w:t>
              </w:r>
            </w:hyperlink>
            <w:r w:rsidRPr="00767D8F">
              <w:rPr>
                <w:rFonts w:ascii="Times New Roman" w:hAnsi="Times New Roman"/>
                <w:sz w:val="24"/>
                <w:szCs w:val="24"/>
              </w:rPr>
              <w:t>, Сведения по вкладам (депозитам) физических лиц и нефинансовых организаций в целом по Российской Федерации в рублях, долларах США и евро.</w:t>
            </w:r>
          </w:p>
          <w:p w14:paraId="2B4FBEA4" w14:textId="77777777" w:rsidR="000C1E0E" w:rsidRPr="00767D8F" w:rsidRDefault="000C1E0E" w:rsidP="0098752B">
            <w:pPr>
              <w:spacing w:line="276" w:lineRule="auto"/>
              <w:ind w:left="106"/>
              <w:contextualSpacing/>
              <w:rPr>
                <w:rFonts w:ascii="Times New Roman" w:hAnsi="Times New Roman"/>
                <w:sz w:val="24"/>
                <w:szCs w:val="24"/>
              </w:rPr>
            </w:pPr>
          </w:p>
        </w:tc>
      </w:tr>
    </w:tbl>
    <w:p w14:paraId="2B6E8C6C" w14:textId="77777777" w:rsidR="000C1E0E" w:rsidRDefault="000C1E0E" w:rsidP="000C1E0E">
      <w:pPr>
        <w:widowControl w:val="0"/>
        <w:numPr>
          <w:ilvl w:val="2"/>
          <w:numId w:val="4"/>
        </w:numPr>
        <w:spacing w:before="60" w:after="60" w:line="240" w:lineRule="auto"/>
        <w:outlineLvl w:val="1"/>
        <w:rPr>
          <w:rFonts w:ascii="Times New Roman" w:hAnsi="Times New Roman"/>
          <w:sz w:val="24"/>
          <w:szCs w:val="24"/>
        </w:rPr>
      </w:pPr>
      <w:r>
        <w:rPr>
          <w:rFonts w:ascii="Times New Roman" w:hAnsi="Times New Roman"/>
          <w:sz w:val="24"/>
          <w:szCs w:val="24"/>
        </w:rPr>
        <w:t xml:space="preserve">Корректировка средневзвешенных ставок при изменении рыночных условий </w:t>
      </w:r>
    </w:p>
    <w:p w14:paraId="4B0DE12D" w14:textId="77777777" w:rsidR="000C1E0E" w:rsidRDefault="000C1E0E" w:rsidP="000C1E0E">
      <w:pPr>
        <w:widowControl w:val="0"/>
        <w:numPr>
          <w:ilvl w:val="2"/>
          <w:numId w:val="4"/>
        </w:numPr>
        <w:spacing w:before="60" w:after="60" w:line="240" w:lineRule="auto"/>
        <w:outlineLvl w:val="1"/>
        <w:rPr>
          <w:rFonts w:ascii="Times New Roman" w:hAnsi="Times New Roman"/>
          <w:sz w:val="24"/>
          <w:szCs w:val="24"/>
        </w:rPr>
      </w:pPr>
      <w:r>
        <w:rPr>
          <w:rFonts w:ascii="Times New Roman" w:hAnsi="Times New Roman"/>
          <w:sz w:val="24"/>
          <w:szCs w:val="24"/>
        </w:rPr>
        <w:t xml:space="preserve">Если последняя раскрытая на сайте Банка России средневзвешенная ставка рассчитана ранее, чем за месяц первоначального признания/ после первоначального признания, для определения рыночной ставки применяется следующий подход: </w:t>
      </w:r>
    </w:p>
    <w:p w14:paraId="6E84624C" w14:textId="77777777" w:rsidR="000C1E0E" w:rsidRDefault="000C1E0E" w:rsidP="000C1E0E">
      <w:pPr>
        <w:widowControl w:val="0"/>
        <w:spacing w:before="60" w:after="60" w:line="240" w:lineRule="auto"/>
        <w:ind w:left="720"/>
        <w:outlineLvl w:val="1"/>
        <w:rPr>
          <w:rFonts w:ascii="Times New Roman" w:hAnsi="Times New Roman"/>
          <w:sz w:val="24"/>
          <w:szCs w:val="24"/>
        </w:rPr>
      </w:pPr>
      <w:r>
        <w:rPr>
          <w:rFonts w:ascii="Times New Roman" w:hAnsi="Times New Roman"/>
          <w:sz w:val="24"/>
          <w:szCs w:val="24"/>
        </w:rPr>
        <w:t xml:space="preserve">a) ключевая ставка Банка России, действовавшая в месяце, за который определена средневзвешенная ставка, сравнивается с ключевой ставкой Банка России, действующей в месяце первоначального признания/после первоначального признания; </w:t>
      </w:r>
    </w:p>
    <w:p w14:paraId="67BBED7A" w14:textId="77777777" w:rsidR="000C1E0E" w:rsidRDefault="000C1E0E" w:rsidP="000C1E0E">
      <w:pPr>
        <w:widowControl w:val="0"/>
        <w:spacing w:before="60" w:after="60" w:line="240" w:lineRule="auto"/>
        <w:ind w:left="720"/>
        <w:outlineLvl w:val="1"/>
        <w:rPr>
          <w:rFonts w:ascii="Times New Roman" w:hAnsi="Times New Roman"/>
          <w:sz w:val="24"/>
          <w:szCs w:val="24"/>
        </w:rPr>
      </w:pPr>
      <w:r>
        <w:rPr>
          <w:rFonts w:ascii="Times New Roman" w:hAnsi="Times New Roman"/>
          <w:sz w:val="24"/>
          <w:szCs w:val="24"/>
        </w:rPr>
        <w:t xml:space="preserve">b) если ключевая ставка Банка России не изменилась до момента первоначального признания, в качестве рыночной ставки при первоначальном признании/после первоначального признания применяется последняя раскрытая средневзвешенная ставка; </w:t>
      </w:r>
    </w:p>
    <w:p w14:paraId="2F924281" w14:textId="77777777" w:rsidR="000C1E0E" w:rsidRDefault="000C1E0E" w:rsidP="000C1E0E">
      <w:pPr>
        <w:widowControl w:val="0"/>
        <w:spacing w:before="60" w:after="60" w:line="240" w:lineRule="auto"/>
        <w:ind w:left="720"/>
        <w:outlineLvl w:val="1"/>
        <w:rPr>
          <w:rFonts w:ascii="Times New Roman" w:hAnsi="Times New Roman"/>
          <w:sz w:val="24"/>
          <w:szCs w:val="24"/>
        </w:rPr>
      </w:pPr>
      <w:r>
        <w:rPr>
          <w:rFonts w:ascii="Times New Roman" w:hAnsi="Times New Roman"/>
          <w:sz w:val="24"/>
          <w:szCs w:val="24"/>
        </w:rPr>
        <w:t>c) если ключевая ставка Банка России изменилась до момента первоначального признания/после первоначального признания, в качестве рыночной ставки при первоначальном признании/после первоначального признания применяется последняя раскрытая средневзвешенная ставка, измененная на то же количество пунктов, на которое изменилась ключевая ставка Банка России.</w:t>
      </w:r>
    </w:p>
    <w:p w14:paraId="190E18E5" w14:textId="77777777" w:rsidR="000C1E0E" w:rsidRDefault="000C1E0E" w:rsidP="000C1E0E">
      <w:pPr>
        <w:widowControl w:val="0"/>
        <w:numPr>
          <w:ilvl w:val="1"/>
          <w:numId w:val="4"/>
        </w:numPr>
        <w:spacing w:before="60" w:after="60" w:line="240" w:lineRule="auto"/>
        <w:outlineLvl w:val="1"/>
        <w:rPr>
          <w:rFonts w:ascii="Times New Roman" w:hAnsi="Times New Roman"/>
          <w:b/>
          <w:sz w:val="24"/>
          <w:szCs w:val="24"/>
        </w:rPr>
      </w:pPr>
      <w:r>
        <w:rPr>
          <w:rFonts w:ascii="Times New Roman" w:hAnsi="Times New Roman"/>
          <w:b/>
          <w:sz w:val="24"/>
          <w:szCs w:val="24"/>
        </w:rPr>
        <w:t>Порядок оценки обязательств</w:t>
      </w:r>
    </w:p>
    <w:p w14:paraId="4CDDCE5A" w14:textId="77777777" w:rsidR="000C1E0E" w:rsidRDefault="000C1E0E" w:rsidP="000C1E0E">
      <w:pPr>
        <w:widowControl w:val="0"/>
        <w:numPr>
          <w:ilvl w:val="2"/>
          <w:numId w:val="4"/>
        </w:numPr>
        <w:spacing w:before="60" w:after="60" w:line="240" w:lineRule="auto"/>
        <w:outlineLvl w:val="1"/>
        <w:rPr>
          <w:rFonts w:ascii="Times New Roman" w:hAnsi="Times New Roman"/>
          <w:sz w:val="24"/>
          <w:szCs w:val="24"/>
        </w:rPr>
      </w:pPr>
      <w:r>
        <w:rPr>
          <w:rFonts w:ascii="Times New Roman" w:hAnsi="Times New Roman"/>
          <w:sz w:val="24"/>
          <w:szCs w:val="24"/>
        </w:rPr>
        <w:t>Справедливой стоимостью обязательств по выдаче инвестиционных паев признается сумма денежных средств, поступившая на банковский счет, открытый Управляющей компанией для учета имущества Фонда в оплату инвестиционных паев.</w:t>
      </w:r>
    </w:p>
    <w:p w14:paraId="74421F45" w14:textId="77777777" w:rsidR="000C1E0E" w:rsidRDefault="000C1E0E" w:rsidP="000C1E0E">
      <w:pPr>
        <w:widowControl w:val="0"/>
        <w:numPr>
          <w:ilvl w:val="2"/>
          <w:numId w:val="4"/>
        </w:numPr>
        <w:spacing w:before="60" w:after="60" w:line="240" w:lineRule="auto"/>
        <w:outlineLvl w:val="1"/>
        <w:rPr>
          <w:rFonts w:ascii="Times New Roman" w:hAnsi="Times New Roman"/>
          <w:sz w:val="24"/>
          <w:szCs w:val="24"/>
        </w:rPr>
      </w:pPr>
      <w:r>
        <w:rPr>
          <w:rFonts w:ascii="Times New Roman" w:hAnsi="Times New Roman"/>
          <w:sz w:val="24"/>
          <w:szCs w:val="24"/>
        </w:rPr>
        <w:t>Справедливой стоимостью обязательств по выплате денежной компенсации при погашении инвестиционных паев признается сумма денежных средств, причитающаяся к выплате владельцам инвестиционных паев, рассчитанная лицом, осуществляющим ведение реестра инвестиционных паев и согласованная с Управляющей компанией.</w:t>
      </w:r>
    </w:p>
    <w:p w14:paraId="27B68C55" w14:textId="77777777" w:rsidR="000C1E0E" w:rsidRDefault="000C1E0E" w:rsidP="000C1E0E">
      <w:pPr>
        <w:widowControl w:val="0"/>
        <w:numPr>
          <w:ilvl w:val="2"/>
          <w:numId w:val="4"/>
        </w:numPr>
        <w:spacing w:before="60" w:after="60" w:line="240" w:lineRule="auto"/>
        <w:outlineLvl w:val="1"/>
        <w:rPr>
          <w:rFonts w:ascii="Times New Roman" w:hAnsi="Times New Roman"/>
          <w:sz w:val="24"/>
          <w:szCs w:val="24"/>
        </w:rPr>
      </w:pPr>
      <w:r>
        <w:rPr>
          <w:rFonts w:ascii="Times New Roman" w:hAnsi="Times New Roman"/>
          <w:sz w:val="24"/>
          <w:szCs w:val="24"/>
        </w:rPr>
        <w:t>Справедливой стоимостью обязательств по выплате налога на доходы физических лиц признается сумма налога, исчисленная лицом, осуществляющим ведение реестра инвестиционных паев и согласованная с Управляющей компанией.</w:t>
      </w:r>
    </w:p>
    <w:p w14:paraId="213272DF" w14:textId="77777777" w:rsidR="000C1E0E" w:rsidRDefault="000C1E0E" w:rsidP="000C1E0E">
      <w:pPr>
        <w:widowControl w:val="0"/>
        <w:numPr>
          <w:ilvl w:val="2"/>
          <w:numId w:val="4"/>
        </w:numPr>
        <w:spacing w:before="60" w:after="60" w:line="240" w:lineRule="auto"/>
        <w:outlineLvl w:val="1"/>
        <w:rPr>
          <w:rFonts w:ascii="Times New Roman" w:hAnsi="Times New Roman"/>
          <w:sz w:val="24"/>
          <w:szCs w:val="24"/>
        </w:rPr>
      </w:pPr>
      <w:r>
        <w:rPr>
          <w:rFonts w:ascii="Times New Roman" w:hAnsi="Times New Roman"/>
          <w:sz w:val="24"/>
          <w:szCs w:val="24"/>
        </w:rPr>
        <w:t>Справедливой стоимостью обязательств по передаче денежных средств в паевой инвестиционный фонд, на инвестиционные паи которого осуществляется обмен, признается сумма денежных средств, рассчитанная лицом, осуществляющим ведение реестра.</w:t>
      </w:r>
    </w:p>
    <w:p w14:paraId="276D8E42" w14:textId="77777777" w:rsidR="000C1E0E" w:rsidRDefault="000C1E0E" w:rsidP="000C1E0E">
      <w:pPr>
        <w:widowControl w:val="0"/>
        <w:numPr>
          <w:ilvl w:val="2"/>
          <w:numId w:val="4"/>
        </w:numPr>
        <w:spacing w:before="60" w:after="60" w:line="240" w:lineRule="auto"/>
        <w:outlineLvl w:val="1"/>
        <w:rPr>
          <w:rFonts w:ascii="Times New Roman" w:hAnsi="Times New Roman"/>
          <w:sz w:val="24"/>
          <w:szCs w:val="24"/>
        </w:rPr>
      </w:pPr>
      <w:r>
        <w:rPr>
          <w:rFonts w:ascii="Times New Roman" w:hAnsi="Times New Roman"/>
          <w:sz w:val="24"/>
          <w:szCs w:val="24"/>
        </w:rPr>
        <w:t>Справедливой стоимостью обязательств по возмещению за счет имущества, составляющего Фонд, собственных денежных средств Управляющей компании Фонда, использованных ею для обмена или выплаты денежной компенсации в связи с погашением инвестиционных паев, признается сумма денежных средств, полученная от Управляющей компании.</w:t>
      </w:r>
    </w:p>
    <w:p w14:paraId="30F74B20" w14:textId="5EF857F4" w:rsidR="000C1E0E" w:rsidRDefault="000C1E0E" w:rsidP="000C1E0E">
      <w:pPr>
        <w:widowControl w:val="0"/>
        <w:numPr>
          <w:ilvl w:val="2"/>
          <w:numId w:val="4"/>
        </w:numPr>
        <w:spacing w:before="60" w:after="60" w:line="240" w:lineRule="auto"/>
        <w:outlineLvl w:val="1"/>
        <w:rPr>
          <w:rFonts w:ascii="Times New Roman" w:hAnsi="Times New Roman"/>
          <w:sz w:val="24"/>
          <w:szCs w:val="24"/>
        </w:rPr>
      </w:pPr>
      <w:r>
        <w:rPr>
          <w:rFonts w:ascii="Times New Roman" w:hAnsi="Times New Roman"/>
          <w:sz w:val="24"/>
          <w:szCs w:val="24"/>
        </w:rPr>
        <w:t>Справедливой стоимостью обязательств, подлежащих исполнению за счет активов Фонда, в том числе обязательств по выплате вознаграждения Управляющей компании, специализированному депозитарию, аудитору, лицу, осуществляющему ведение реестра владельцев инвестиционных паев Фонда, обязательств по уплате сумм скидок с расчетной стоимости инвестиционного пая (надбавок к расчетной стоимости инвестиционного пая) Управляющей компании Фонда и (или) агентам по выдаче, погашению и обмену инвестиционных паев, а также обязательств по оплате прочих расходов, осуществляемых за счет имущества Фонда в соответствии с требованиями действующего законодательства, признается стоимость вознаграждения (услуг, скидки, надбавки), рассчитанная исходя из условий договоров (Правил доверительного управления имуществом Фонда) и указанная в первичных учетных документах (актах оказанных услуг, выставленных счетах, иных документах, подтверждающих факт оказания услуг).</w:t>
      </w:r>
    </w:p>
    <w:p w14:paraId="1A09D99A" w14:textId="77777777" w:rsidR="000C1E0E" w:rsidRDefault="000C1E0E" w:rsidP="000C1E0E">
      <w:pPr>
        <w:widowControl w:val="0"/>
        <w:numPr>
          <w:ilvl w:val="1"/>
          <w:numId w:val="4"/>
        </w:numPr>
        <w:spacing w:before="60" w:after="60" w:line="240" w:lineRule="auto"/>
        <w:outlineLvl w:val="1"/>
        <w:rPr>
          <w:rFonts w:ascii="Times New Roman" w:hAnsi="Times New Roman"/>
          <w:b/>
          <w:sz w:val="24"/>
          <w:szCs w:val="24"/>
        </w:rPr>
      </w:pPr>
      <w:r>
        <w:rPr>
          <w:rFonts w:ascii="Times New Roman" w:hAnsi="Times New Roman"/>
          <w:b/>
          <w:sz w:val="24"/>
          <w:szCs w:val="24"/>
        </w:rPr>
        <w:t>Справедливая стоимость признается равной 0 (Ноль):</w:t>
      </w:r>
    </w:p>
    <w:p w14:paraId="06EDADA9" w14:textId="77777777" w:rsidR="000C1E0E" w:rsidRDefault="000C1E0E" w:rsidP="000C1E0E">
      <w:pPr>
        <w:widowControl w:val="0"/>
        <w:spacing w:before="60" w:after="60" w:line="240" w:lineRule="auto"/>
        <w:ind w:left="709"/>
        <w:outlineLvl w:val="1"/>
        <w:rPr>
          <w:rFonts w:ascii="Times New Roman" w:hAnsi="Times New Roman"/>
          <w:b/>
          <w:sz w:val="24"/>
          <w:szCs w:val="24"/>
        </w:rPr>
      </w:pPr>
      <w:r>
        <w:rPr>
          <w:rFonts w:ascii="Times New Roman" w:hAnsi="Times New Roman"/>
          <w:sz w:val="24"/>
          <w:szCs w:val="24"/>
        </w:rPr>
        <w:t>- по всем выпускам долговых ценных бумаг с даты полного погашения номинала в соответствии с условиями выпуска ценных бумаг.</w:t>
      </w:r>
    </w:p>
    <w:p w14:paraId="444CB631" w14:textId="345B2DF5" w:rsidR="004D61AC" w:rsidRDefault="004D61AC" w:rsidP="004D61AC">
      <w:pPr>
        <w:widowControl w:val="0"/>
        <w:spacing w:before="60" w:after="60" w:line="240" w:lineRule="auto"/>
        <w:ind w:left="709"/>
        <w:outlineLvl w:val="1"/>
        <w:rPr>
          <w:sz w:val="20"/>
        </w:rPr>
      </w:pPr>
      <w:r>
        <w:rPr>
          <w:sz w:val="20"/>
        </w:rPr>
        <w:t xml:space="preserve">   </w:t>
      </w:r>
      <w:r w:rsidRPr="004D61AC">
        <w:rPr>
          <w:rFonts w:ascii="Times New Roman" w:hAnsi="Times New Roman"/>
          <w:sz w:val="24"/>
          <w:szCs w:val="24"/>
        </w:rPr>
        <w:t>- в случае возбуждении процедуры банкротства в отношении эмитента (лица, обязанного по ценной бумаге), контрагента, дебитора – с даты официального сообщения о банкротстве:</w:t>
      </w:r>
      <w:r>
        <w:rPr>
          <w:b/>
          <w:bCs/>
          <w:sz w:val="20"/>
        </w:rPr>
        <w:t xml:space="preserve"> </w:t>
      </w:r>
    </w:p>
    <w:p w14:paraId="4DF642C0" w14:textId="0C242285" w:rsidR="004D61AC" w:rsidRPr="004D61AC" w:rsidRDefault="004D61AC" w:rsidP="004D61AC">
      <w:pPr>
        <w:pStyle w:val="Default"/>
        <w:numPr>
          <w:ilvl w:val="0"/>
          <w:numId w:val="9"/>
        </w:numPr>
        <w:jc w:val="both"/>
        <w:rPr>
          <w:bCs/>
        </w:rPr>
      </w:pPr>
      <w:r w:rsidRPr="004D61AC">
        <w:rPr>
          <w:bCs/>
        </w:rPr>
        <w:t>для долевых ценных бумаг и депозитарных расписок эмитента, находящегося в состоянии банкротства, за исключением случаев наличия публичных котировок этих бумаг либо отчета оценщика на дату после начала процесса банкротства и не ранее 6 мес. до момента расчета СЧА;</w:t>
      </w:r>
    </w:p>
    <w:p w14:paraId="756A46E9" w14:textId="67BC28C9" w:rsidR="004D61AC" w:rsidRPr="004D61AC" w:rsidRDefault="004D61AC" w:rsidP="004D61AC">
      <w:pPr>
        <w:pStyle w:val="Default"/>
        <w:numPr>
          <w:ilvl w:val="0"/>
          <w:numId w:val="9"/>
        </w:numPr>
        <w:jc w:val="both"/>
      </w:pPr>
      <w:r w:rsidRPr="004D61AC">
        <w:t>Для требований на выплату объявленных дивидендов</w:t>
      </w:r>
      <w:r>
        <w:t>.</w:t>
      </w:r>
    </w:p>
    <w:p w14:paraId="16B73C87" w14:textId="3D3D2200" w:rsidR="000C1E0E" w:rsidRDefault="000C1E0E" w:rsidP="000C1E0E">
      <w:pPr>
        <w:widowControl w:val="0"/>
        <w:spacing w:before="60" w:after="60" w:line="240" w:lineRule="auto"/>
        <w:ind w:left="709"/>
        <w:outlineLvl w:val="1"/>
        <w:rPr>
          <w:rFonts w:ascii="Times New Roman" w:hAnsi="Times New Roman"/>
          <w:sz w:val="24"/>
          <w:szCs w:val="24"/>
        </w:rPr>
      </w:pPr>
      <w:r>
        <w:rPr>
          <w:rFonts w:ascii="Times New Roman" w:hAnsi="Times New Roman"/>
          <w:sz w:val="24"/>
          <w:szCs w:val="24"/>
        </w:rPr>
        <w:t>- в случае события, приводящего к признанию драгоценного металла непригодным для дальнейшего использования по целевому назначению, - с даты получения официального документа о таком факте.</w:t>
      </w:r>
    </w:p>
    <w:p w14:paraId="0E99B859" w14:textId="77777777" w:rsidR="000C1E0E" w:rsidRDefault="000C1E0E" w:rsidP="000C1E0E">
      <w:pPr>
        <w:widowControl w:val="0"/>
        <w:spacing w:before="60" w:after="60" w:line="240" w:lineRule="auto"/>
        <w:ind w:left="709"/>
        <w:outlineLvl w:val="1"/>
        <w:rPr>
          <w:rFonts w:ascii="Times New Roman" w:hAnsi="Times New Roman"/>
          <w:sz w:val="24"/>
          <w:szCs w:val="24"/>
        </w:rPr>
      </w:pPr>
      <w:r>
        <w:rPr>
          <w:rFonts w:ascii="Times New Roman" w:hAnsi="Times New Roman"/>
          <w:sz w:val="24"/>
          <w:szCs w:val="24"/>
        </w:rPr>
        <w:t xml:space="preserve">В иных случаях возникновения признаков обесценения ценные бумаги оцениваются в соответствии с Методикой оценки кредитного риска контрагента (Приложение №2 к настоящим Правилам СЧА). </w:t>
      </w:r>
    </w:p>
    <w:p w14:paraId="3A41F5BD" w14:textId="77777777" w:rsidR="000C1E0E" w:rsidRDefault="000C1E0E" w:rsidP="000C1E0E">
      <w:pPr>
        <w:widowControl w:val="0"/>
        <w:numPr>
          <w:ilvl w:val="1"/>
          <w:numId w:val="4"/>
        </w:numPr>
        <w:spacing w:before="60" w:after="60" w:line="240" w:lineRule="auto"/>
        <w:outlineLvl w:val="1"/>
        <w:rPr>
          <w:rFonts w:ascii="Times New Roman" w:hAnsi="Times New Roman"/>
          <w:b/>
          <w:sz w:val="24"/>
          <w:szCs w:val="24"/>
        </w:rPr>
      </w:pPr>
      <w:r>
        <w:rPr>
          <w:rFonts w:ascii="Times New Roman" w:hAnsi="Times New Roman"/>
          <w:b/>
          <w:sz w:val="24"/>
          <w:szCs w:val="24"/>
        </w:rPr>
        <w:t>Порядок конвертации величин стоимостей, выраженных в одной валюте, в другую валюту</w:t>
      </w:r>
    </w:p>
    <w:p w14:paraId="0F7D3179" w14:textId="77777777" w:rsidR="000C1E0E" w:rsidRDefault="000C1E0E" w:rsidP="000C1E0E">
      <w:pPr>
        <w:widowControl w:val="0"/>
        <w:spacing w:before="60" w:after="60" w:line="240" w:lineRule="auto"/>
        <w:ind w:left="709"/>
        <w:outlineLvl w:val="1"/>
        <w:rPr>
          <w:rFonts w:ascii="Times New Roman" w:hAnsi="Times New Roman"/>
          <w:sz w:val="24"/>
          <w:szCs w:val="24"/>
        </w:rPr>
      </w:pPr>
      <w:r>
        <w:rPr>
          <w:rFonts w:ascii="Times New Roman" w:hAnsi="Times New Roman"/>
          <w:sz w:val="24"/>
          <w:szCs w:val="24"/>
        </w:rPr>
        <w:t>Выраженные в иностранной валюте активы фонда, а также обязательства, подлежащие исполнению за счет указанных активов, принимаются в расчет стоимости чистых активов в рублях по курсу, определенному в порядке следующего приоритета:</w:t>
      </w:r>
    </w:p>
    <w:p w14:paraId="50DFB251" w14:textId="77777777" w:rsidR="000C1E0E" w:rsidRDefault="000C1E0E" w:rsidP="000C1E0E">
      <w:pPr>
        <w:pStyle w:val="afc"/>
        <w:widowControl w:val="0"/>
        <w:numPr>
          <w:ilvl w:val="0"/>
          <w:numId w:val="10"/>
        </w:numPr>
        <w:spacing w:before="60" w:after="60" w:line="240" w:lineRule="auto"/>
        <w:jc w:val="both"/>
        <w:outlineLvl w:val="1"/>
        <w:rPr>
          <w:rFonts w:ascii="Times New Roman" w:hAnsi="Times New Roman"/>
          <w:sz w:val="24"/>
          <w:szCs w:val="24"/>
        </w:rPr>
      </w:pPr>
      <w:r>
        <w:rPr>
          <w:rFonts w:ascii="Times New Roman" w:hAnsi="Times New Roman"/>
          <w:sz w:val="24"/>
          <w:szCs w:val="24"/>
        </w:rPr>
        <w:t xml:space="preserve">По биржевому курсу закрытия (TOM) ПАО Московская Биржа на дату определения стоимость чистых активов Фонда (далее дата – Т). </w:t>
      </w:r>
    </w:p>
    <w:p w14:paraId="30C8B295" w14:textId="35519720" w:rsidR="000C1E0E" w:rsidRDefault="000C1E0E" w:rsidP="000C1E0E">
      <w:pPr>
        <w:pStyle w:val="afc"/>
        <w:widowControl w:val="0"/>
        <w:numPr>
          <w:ilvl w:val="0"/>
          <w:numId w:val="10"/>
        </w:numPr>
        <w:spacing w:before="60" w:after="60" w:line="240" w:lineRule="auto"/>
        <w:jc w:val="both"/>
        <w:outlineLvl w:val="1"/>
        <w:rPr>
          <w:rFonts w:ascii="Times New Roman" w:hAnsi="Times New Roman"/>
          <w:sz w:val="24"/>
          <w:szCs w:val="24"/>
        </w:rPr>
      </w:pPr>
      <w:r>
        <w:rPr>
          <w:rFonts w:ascii="Times New Roman" w:hAnsi="Times New Roman"/>
          <w:sz w:val="24"/>
          <w:szCs w:val="24"/>
        </w:rPr>
        <w:t>Если биржевой курс закрытия (TOM) ПАО Московская Биржа на дату Т отсутствует, то для расчетов используется официальный курс Банка России, установленный на дату Т.</w:t>
      </w:r>
    </w:p>
    <w:p w14:paraId="1E77B9D9" w14:textId="40B21949" w:rsidR="000C1E0E" w:rsidRDefault="000C1E0E" w:rsidP="000C1E0E">
      <w:pPr>
        <w:pStyle w:val="afc"/>
        <w:widowControl w:val="0"/>
        <w:numPr>
          <w:ilvl w:val="0"/>
          <w:numId w:val="10"/>
        </w:numPr>
        <w:spacing w:before="60" w:after="60" w:line="240" w:lineRule="auto"/>
        <w:jc w:val="both"/>
        <w:outlineLvl w:val="1"/>
        <w:rPr>
          <w:rFonts w:ascii="Times New Roman" w:hAnsi="Times New Roman"/>
          <w:sz w:val="24"/>
          <w:szCs w:val="24"/>
        </w:rPr>
      </w:pPr>
      <w:r>
        <w:rPr>
          <w:rFonts w:ascii="Times New Roman" w:hAnsi="Times New Roman"/>
          <w:sz w:val="24"/>
          <w:szCs w:val="24"/>
        </w:rPr>
        <w:t>В случае отсутствия официального курса иностранной валюты, установленного Банком России, используется курс иностранной валюты, представленный в информационной системе</w:t>
      </w:r>
      <w:r w:rsidR="00F91C71">
        <w:rPr>
          <w:rFonts w:ascii="Times New Roman" w:hAnsi="Times New Roman"/>
          <w:sz w:val="24"/>
          <w:szCs w:val="24"/>
        </w:rPr>
        <w:t xml:space="preserve"> Bloomberg (курс Bloomberg BGN)</w:t>
      </w:r>
      <w:r>
        <w:rPr>
          <w:rFonts w:ascii="Times New Roman" w:hAnsi="Times New Roman"/>
          <w:sz w:val="24"/>
          <w:szCs w:val="24"/>
        </w:rPr>
        <w:t> на дату T.</w:t>
      </w:r>
    </w:p>
    <w:p w14:paraId="72218AC0" w14:textId="77777777" w:rsidR="000C1E0E" w:rsidRDefault="000C1E0E" w:rsidP="000C1E0E">
      <w:pPr>
        <w:pStyle w:val="afc"/>
        <w:widowControl w:val="0"/>
        <w:numPr>
          <w:ilvl w:val="0"/>
          <w:numId w:val="10"/>
        </w:numPr>
        <w:spacing w:before="60" w:after="60" w:line="240" w:lineRule="auto"/>
        <w:jc w:val="both"/>
        <w:outlineLvl w:val="1"/>
        <w:rPr>
          <w:rFonts w:ascii="Times New Roman" w:hAnsi="Times New Roman"/>
          <w:sz w:val="24"/>
          <w:szCs w:val="24"/>
        </w:rPr>
      </w:pPr>
      <w:r>
        <w:rPr>
          <w:rFonts w:ascii="Times New Roman" w:hAnsi="Times New Roman"/>
          <w:sz w:val="24"/>
          <w:szCs w:val="24"/>
        </w:rPr>
        <w:t xml:space="preserve">В случае отсутствия информации по указанным выше пунктам, в качестве курса иностранной валюты используется кросс-курс валют к рублю, определенный на основе значений курсов валют к доллару США или евро (в случае отсутствия данных по кросс-курсу валюты к доллару США), предоставленных информационным агентством Bloomberg, и официального курса доллара США или евро к рублю, установленного Банком России: </w:t>
      </w:r>
    </w:p>
    <w:p w14:paraId="0BD4EE8D" w14:textId="77777777" w:rsidR="000C1E0E" w:rsidRDefault="000C1E0E" w:rsidP="000C1E0E">
      <w:pPr>
        <w:ind w:left="1134"/>
        <w:rPr>
          <w:rFonts w:ascii="Times New Roman" w:hAnsi="Times New Roman"/>
          <w:sz w:val="24"/>
          <w:szCs w:val="24"/>
        </w:rPr>
      </w:pPr>
      <w:r>
        <w:rPr>
          <w:rFonts w:ascii="Times New Roman" w:hAnsi="Times New Roman"/>
          <w:sz w:val="24"/>
          <w:szCs w:val="24"/>
        </w:rPr>
        <w:t xml:space="preserve">RateRUB = RateBase * RateRUB/Base, где </w:t>
      </w:r>
    </w:p>
    <w:p w14:paraId="02D04203" w14:textId="77777777" w:rsidR="000C1E0E" w:rsidRDefault="000C1E0E" w:rsidP="000C1E0E">
      <w:pPr>
        <w:ind w:left="1134"/>
        <w:rPr>
          <w:rFonts w:ascii="Times New Roman" w:hAnsi="Times New Roman"/>
          <w:sz w:val="24"/>
          <w:szCs w:val="24"/>
        </w:rPr>
      </w:pPr>
      <w:r>
        <w:rPr>
          <w:rFonts w:ascii="Times New Roman" w:hAnsi="Times New Roman"/>
          <w:sz w:val="24"/>
          <w:szCs w:val="24"/>
        </w:rPr>
        <w:t xml:space="preserve">RateRUB–количество рублей за единицу валюты, </w:t>
      </w:r>
    </w:p>
    <w:p w14:paraId="0A8115B4" w14:textId="77777777" w:rsidR="000C1E0E" w:rsidRDefault="000C1E0E" w:rsidP="000C1E0E">
      <w:pPr>
        <w:ind w:left="1134"/>
        <w:rPr>
          <w:rFonts w:ascii="Times New Roman" w:hAnsi="Times New Roman"/>
          <w:sz w:val="24"/>
          <w:szCs w:val="24"/>
        </w:rPr>
      </w:pPr>
      <w:r>
        <w:rPr>
          <w:rFonts w:ascii="Times New Roman" w:hAnsi="Times New Roman"/>
          <w:sz w:val="24"/>
          <w:szCs w:val="24"/>
        </w:rPr>
        <w:t xml:space="preserve">RateBase –количество единиц базовой валюты за единицу валюты, </w:t>
      </w:r>
    </w:p>
    <w:p w14:paraId="152A5F1B" w14:textId="77777777" w:rsidR="000C1E0E" w:rsidRDefault="000C1E0E" w:rsidP="000C1E0E">
      <w:pPr>
        <w:ind w:left="1134"/>
        <w:rPr>
          <w:rFonts w:ascii="Times New Roman" w:hAnsi="Times New Roman"/>
          <w:sz w:val="24"/>
          <w:szCs w:val="24"/>
        </w:rPr>
      </w:pPr>
      <w:r>
        <w:rPr>
          <w:rFonts w:ascii="Times New Roman" w:hAnsi="Times New Roman"/>
          <w:sz w:val="24"/>
          <w:szCs w:val="24"/>
        </w:rPr>
        <w:t xml:space="preserve">RateRUB/Base –количество рублей за единицу базовой валюты, </w:t>
      </w:r>
    </w:p>
    <w:p w14:paraId="158F4892" w14:textId="77777777" w:rsidR="000C1E0E" w:rsidRDefault="000C1E0E" w:rsidP="000C1E0E">
      <w:pPr>
        <w:ind w:left="1134"/>
        <w:rPr>
          <w:rFonts w:ascii="Times New Roman" w:hAnsi="Times New Roman"/>
          <w:sz w:val="24"/>
          <w:szCs w:val="24"/>
        </w:rPr>
      </w:pPr>
      <w:r>
        <w:rPr>
          <w:rFonts w:ascii="Times New Roman" w:hAnsi="Times New Roman"/>
          <w:sz w:val="24"/>
          <w:szCs w:val="24"/>
        </w:rPr>
        <w:t>Base – доллар США или евро.</w:t>
      </w:r>
    </w:p>
    <w:p w14:paraId="34DFD55B" w14:textId="77777777" w:rsidR="000C1E0E" w:rsidRDefault="000C1E0E" w:rsidP="000C1E0E">
      <w:pPr>
        <w:widowControl w:val="0"/>
        <w:numPr>
          <w:ilvl w:val="1"/>
          <w:numId w:val="4"/>
        </w:numPr>
        <w:spacing w:before="60" w:after="60" w:line="240" w:lineRule="auto"/>
        <w:ind w:left="709"/>
        <w:outlineLvl w:val="1"/>
        <w:rPr>
          <w:rFonts w:ascii="Times New Roman" w:hAnsi="Times New Roman"/>
          <w:b/>
          <w:sz w:val="24"/>
          <w:szCs w:val="24"/>
        </w:rPr>
      </w:pPr>
      <w:r>
        <w:rPr>
          <w:rFonts w:ascii="Times New Roman" w:hAnsi="Times New Roman"/>
          <w:b/>
          <w:sz w:val="24"/>
          <w:szCs w:val="24"/>
        </w:rPr>
        <w:t xml:space="preserve"> Перечень активов, подлежащих оценке оценщиком, и периодичность проведения такой оценки</w:t>
      </w:r>
    </w:p>
    <w:p w14:paraId="0A08CAC2" w14:textId="77777777" w:rsidR="000C1E0E" w:rsidRDefault="000C1E0E" w:rsidP="000C1E0E">
      <w:pPr>
        <w:widowControl w:val="0"/>
        <w:numPr>
          <w:ilvl w:val="2"/>
          <w:numId w:val="4"/>
        </w:numPr>
        <w:spacing w:before="60" w:after="60" w:line="240" w:lineRule="auto"/>
        <w:ind w:left="709"/>
        <w:outlineLvl w:val="1"/>
        <w:rPr>
          <w:rFonts w:ascii="Times New Roman" w:hAnsi="Times New Roman"/>
          <w:sz w:val="24"/>
          <w:szCs w:val="24"/>
        </w:rPr>
      </w:pPr>
      <w:r>
        <w:rPr>
          <w:rFonts w:ascii="Times New Roman" w:hAnsi="Times New Roman"/>
          <w:sz w:val="24"/>
          <w:szCs w:val="24"/>
        </w:rPr>
        <w:t>Ценные бумаги и финансовые инструменты, по которым невозможно определить справедливую цену в порядке, предусмотренном п. 3.10 настоящих Правил, подлежат оценке оценщиком.</w:t>
      </w:r>
    </w:p>
    <w:p w14:paraId="0E572346" w14:textId="57EEFF70" w:rsidR="000C1E0E" w:rsidRDefault="000C1E0E" w:rsidP="000C1E0E">
      <w:pPr>
        <w:widowControl w:val="0"/>
        <w:numPr>
          <w:ilvl w:val="2"/>
          <w:numId w:val="4"/>
        </w:numPr>
        <w:spacing w:before="60" w:after="60" w:line="240" w:lineRule="auto"/>
        <w:ind w:left="709"/>
        <w:outlineLvl w:val="1"/>
        <w:rPr>
          <w:rFonts w:ascii="Times New Roman" w:hAnsi="Times New Roman"/>
          <w:sz w:val="24"/>
          <w:szCs w:val="24"/>
        </w:rPr>
      </w:pPr>
      <w:r>
        <w:rPr>
          <w:rFonts w:ascii="Times New Roman" w:hAnsi="Times New Roman"/>
          <w:sz w:val="24"/>
          <w:szCs w:val="24"/>
        </w:rPr>
        <w:t>При этом периодичность проведения такой оценки составляет не менее одного раза в 6 месяцев.</w:t>
      </w:r>
    </w:p>
    <w:p w14:paraId="3FF0E565" w14:textId="77777777" w:rsidR="000C1E0E" w:rsidRDefault="000C1E0E" w:rsidP="000C1E0E">
      <w:pPr>
        <w:widowControl w:val="0"/>
        <w:numPr>
          <w:ilvl w:val="1"/>
          <w:numId w:val="4"/>
        </w:numPr>
        <w:spacing w:before="60" w:after="60" w:line="240" w:lineRule="auto"/>
        <w:outlineLvl w:val="1"/>
        <w:rPr>
          <w:rFonts w:ascii="Times New Roman" w:hAnsi="Times New Roman"/>
          <w:b/>
          <w:sz w:val="24"/>
          <w:szCs w:val="24"/>
        </w:rPr>
      </w:pPr>
      <w:r>
        <w:rPr>
          <w:rFonts w:ascii="Times New Roman" w:hAnsi="Times New Roman"/>
          <w:b/>
          <w:sz w:val="24"/>
          <w:szCs w:val="24"/>
        </w:rPr>
        <w:t>Порядок расчета резерва на выплату вознаграждения</w:t>
      </w:r>
    </w:p>
    <w:p w14:paraId="179D354A" w14:textId="77777777" w:rsidR="000C1E0E" w:rsidRDefault="000C1E0E" w:rsidP="000C1E0E">
      <w:pPr>
        <w:widowControl w:val="0"/>
        <w:numPr>
          <w:ilvl w:val="2"/>
          <w:numId w:val="4"/>
        </w:numPr>
        <w:spacing w:before="60" w:after="60" w:line="240" w:lineRule="auto"/>
        <w:outlineLvl w:val="1"/>
        <w:rPr>
          <w:rFonts w:ascii="Times New Roman" w:hAnsi="Times New Roman"/>
          <w:sz w:val="24"/>
          <w:szCs w:val="24"/>
        </w:rPr>
      </w:pPr>
      <w:r>
        <w:rPr>
          <w:rFonts w:ascii="Times New Roman" w:hAnsi="Times New Roman"/>
          <w:sz w:val="24"/>
          <w:szCs w:val="24"/>
        </w:rPr>
        <w:t>Резерв на выплату вознаграждения формируется отдельно в части резерва на выплату вознаграждения Управляющей компании и в части резерва на выплату совокупного вознаграждения специализированному депозитарию, аудиторской организации, Фонда, и лицу, осуществляющему ведение реестра владельцев инвестиционных паев ПИФ (далее – резерв на выплату прочих вознаграждений).</w:t>
      </w:r>
    </w:p>
    <w:p w14:paraId="05120EBC" w14:textId="77777777" w:rsidR="000C1E0E" w:rsidRDefault="000C1E0E" w:rsidP="000C1E0E">
      <w:pPr>
        <w:widowControl w:val="0"/>
        <w:numPr>
          <w:ilvl w:val="2"/>
          <w:numId w:val="4"/>
        </w:numPr>
        <w:spacing w:before="60" w:after="60" w:line="240" w:lineRule="auto"/>
        <w:outlineLvl w:val="1"/>
        <w:rPr>
          <w:rFonts w:ascii="Times New Roman" w:hAnsi="Times New Roman"/>
          <w:sz w:val="24"/>
          <w:szCs w:val="24"/>
        </w:rPr>
      </w:pPr>
      <w:r>
        <w:rPr>
          <w:rFonts w:ascii="Times New Roman" w:hAnsi="Times New Roman"/>
          <w:sz w:val="24"/>
          <w:szCs w:val="24"/>
        </w:rPr>
        <w:t>Резерв на выплату вознаграждений начисляется и отражается в составе обязательств Фонда в течение отчетного года: с наиболее поздней из двух дат – даты начала календарного года или даты завершения (окончания) формирования - до:</w:t>
      </w:r>
    </w:p>
    <w:p w14:paraId="20CBF447" w14:textId="77777777" w:rsidR="000C1E0E" w:rsidRDefault="000C1E0E" w:rsidP="00F91C71">
      <w:pPr>
        <w:pStyle w:val="12"/>
        <w:tabs>
          <w:tab w:val="left" w:pos="993"/>
        </w:tabs>
        <w:spacing w:line="276" w:lineRule="auto"/>
        <w:jc w:val="both"/>
        <w:rPr>
          <w:szCs w:val="24"/>
        </w:rPr>
      </w:pPr>
      <w:r>
        <w:rPr>
          <w:szCs w:val="24"/>
        </w:rPr>
        <w:tab/>
        <w:t xml:space="preserve">- даты окончания календарного года; </w:t>
      </w:r>
    </w:p>
    <w:p w14:paraId="4B670130" w14:textId="77777777" w:rsidR="000C1E0E" w:rsidRDefault="000C1E0E" w:rsidP="00F91C71">
      <w:pPr>
        <w:pStyle w:val="12"/>
        <w:tabs>
          <w:tab w:val="left" w:pos="993"/>
        </w:tabs>
        <w:spacing w:line="276" w:lineRule="auto"/>
        <w:ind w:left="709"/>
        <w:jc w:val="both"/>
        <w:rPr>
          <w:szCs w:val="24"/>
        </w:rPr>
      </w:pPr>
      <w:r>
        <w:rPr>
          <w:szCs w:val="24"/>
        </w:rPr>
        <w:tab/>
        <w:t>- даты возникновения основания для прекращения Фонда (включительно) в части резерва на выплату вознаграждения Управляющей компании;</w:t>
      </w:r>
    </w:p>
    <w:p w14:paraId="49A56D85" w14:textId="77777777" w:rsidR="000C1E0E" w:rsidRDefault="000C1E0E" w:rsidP="00F91C71">
      <w:pPr>
        <w:pStyle w:val="12"/>
        <w:tabs>
          <w:tab w:val="left" w:pos="993"/>
        </w:tabs>
        <w:spacing w:line="276" w:lineRule="auto"/>
        <w:ind w:left="709"/>
        <w:jc w:val="both"/>
        <w:rPr>
          <w:szCs w:val="24"/>
        </w:rPr>
      </w:pPr>
      <w:r>
        <w:rPr>
          <w:szCs w:val="24"/>
        </w:rPr>
        <w:tab/>
        <w:t>- наиболее поздней из двух дат при прекращении - даты окончания приема требований кредиторов Фонда или даты окончания реализации всего имущества Фонда.</w:t>
      </w:r>
    </w:p>
    <w:p w14:paraId="6A677469" w14:textId="77777777" w:rsidR="000C1E0E" w:rsidRDefault="000C1E0E" w:rsidP="000C1E0E">
      <w:pPr>
        <w:widowControl w:val="0"/>
        <w:numPr>
          <w:ilvl w:val="2"/>
          <w:numId w:val="4"/>
        </w:numPr>
        <w:spacing w:before="60" w:after="60" w:line="240" w:lineRule="auto"/>
        <w:outlineLvl w:val="1"/>
        <w:rPr>
          <w:szCs w:val="24"/>
        </w:rPr>
      </w:pPr>
      <w:r>
        <w:rPr>
          <w:rFonts w:ascii="Times New Roman" w:hAnsi="Times New Roman"/>
          <w:sz w:val="24"/>
          <w:szCs w:val="24"/>
        </w:rPr>
        <w:t>Резерв на выплату вознаграждений, определенный исходя из размера вознаграждения, предусмотренного правилами ДУ ПИФ, в течение отчетного года начисляется нарастающим итогом и отражается в составе обязательств ПИФ на каждую дату определения СЧА, предусмотренную Правилами определения стоимости чистых активов.</w:t>
      </w:r>
    </w:p>
    <w:p w14:paraId="1DE9CBF8" w14:textId="77777777" w:rsidR="000C1E0E" w:rsidRDefault="000C1E0E" w:rsidP="000C1E0E">
      <w:pPr>
        <w:widowControl w:val="0"/>
        <w:numPr>
          <w:ilvl w:val="2"/>
          <w:numId w:val="4"/>
        </w:numPr>
        <w:spacing w:before="60" w:after="60" w:line="240" w:lineRule="auto"/>
        <w:outlineLvl w:val="1"/>
        <w:rPr>
          <w:szCs w:val="24"/>
        </w:rPr>
      </w:pPr>
      <w:r>
        <w:rPr>
          <w:rFonts w:ascii="Times New Roman" w:hAnsi="Times New Roman"/>
          <w:sz w:val="24"/>
          <w:szCs w:val="24"/>
        </w:rPr>
        <w:t xml:space="preserve">Резерв на выплату вознаграждения </w:t>
      </w:r>
      <w:r>
        <w:rPr>
          <w:szCs w:val="24"/>
        </w:rPr>
        <w:t>Управляющ</w:t>
      </w:r>
      <w:r>
        <w:rPr>
          <w:rFonts w:ascii="Times New Roman" w:hAnsi="Times New Roman"/>
          <w:sz w:val="24"/>
          <w:szCs w:val="24"/>
        </w:rPr>
        <w:t>ей компании и резерв на выплату прочих вознаграждений, в случае, если размер таких вознаграждений определяется исходя из среднегодовой СЧА (далее – СГСЧА), рассчитываются отдельно по каждой части резерва в следующем порядке:</w:t>
      </w:r>
    </w:p>
    <w:p w14:paraId="2D42AB2F" w14:textId="77777777" w:rsidR="000C1E0E" w:rsidRDefault="000C1E0E" w:rsidP="000C1E0E">
      <w:pPr>
        <w:pStyle w:val="12"/>
        <w:tabs>
          <w:tab w:val="left" w:pos="993"/>
        </w:tabs>
        <w:spacing w:line="360" w:lineRule="auto"/>
        <w:ind w:left="709"/>
        <w:jc w:val="both"/>
        <w:rPr>
          <w:rFonts w:eastAsia="Batang"/>
          <w:szCs w:val="24"/>
        </w:rPr>
      </w:pPr>
      <w:r>
        <w:rPr>
          <w:rFonts w:eastAsia="Batang"/>
          <w:szCs w:val="24"/>
        </w:rPr>
        <w:t>на первый рабочий день отчетного года:</w:t>
      </w:r>
    </w:p>
    <w:p w14:paraId="71ADE57D" w14:textId="77777777" w:rsidR="000C1E0E" w:rsidRDefault="000C1E0E" w:rsidP="000C1E0E">
      <w:pPr>
        <w:pStyle w:val="12"/>
        <w:tabs>
          <w:tab w:val="left" w:pos="993"/>
        </w:tabs>
        <w:spacing w:line="360" w:lineRule="auto"/>
        <w:ind w:left="709"/>
        <w:jc w:val="both"/>
        <w:rPr>
          <w:rFonts w:eastAsia="Batang"/>
          <w:szCs w:val="24"/>
        </w:rPr>
      </w:pPr>
      <w:r>
        <w:rPr>
          <w:rFonts w:eastAsia="Batang"/>
          <w:szCs w:val="24"/>
        </w:rPr>
        <w:object w:dxaOrig="1725" w:dyaOrig="645" w14:anchorId="713C5D87">
          <v:shape id="_x0000_i1028" type="#_x0000_t75" style="width:86.25pt;height:32.65pt" o:ole="">
            <v:imagedata r:id="rId28" o:title=""/>
          </v:shape>
          <o:OLEObject Type="Embed" ProgID="Equation.3" ShapeID="_x0000_i1028" DrawAspect="Content" ObjectID="_1685875198" r:id="rId29"/>
        </w:object>
      </w:r>
    </w:p>
    <w:p w14:paraId="3749EE30" w14:textId="77777777" w:rsidR="000C1E0E" w:rsidRDefault="000C1E0E" w:rsidP="000C1E0E">
      <w:pPr>
        <w:pStyle w:val="12"/>
        <w:tabs>
          <w:tab w:val="left" w:pos="993"/>
        </w:tabs>
        <w:spacing w:line="360" w:lineRule="auto"/>
        <w:ind w:left="0"/>
        <w:jc w:val="both"/>
        <w:rPr>
          <w:rFonts w:eastAsia="Batang"/>
          <w:szCs w:val="24"/>
        </w:rPr>
      </w:pPr>
      <w:r>
        <w:rPr>
          <w:rFonts w:eastAsia="Batang"/>
          <w:szCs w:val="24"/>
        </w:rPr>
        <w:t xml:space="preserve">где:    </w:t>
      </w:r>
    </w:p>
    <w:p w14:paraId="2A4371FE" w14:textId="77777777" w:rsidR="000C1E0E" w:rsidRDefault="000C1E0E" w:rsidP="000C1E0E">
      <w:pPr>
        <w:pStyle w:val="12"/>
        <w:tabs>
          <w:tab w:val="left" w:pos="993"/>
        </w:tabs>
        <w:spacing w:line="360" w:lineRule="auto"/>
        <w:ind w:left="0"/>
        <w:jc w:val="both"/>
        <w:rPr>
          <w:rFonts w:eastAsia="Batang"/>
          <w:szCs w:val="24"/>
        </w:rPr>
      </w:pPr>
      <w:r>
        <w:rPr>
          <w:rFonts w:eastAsia="Batang"/>
          <w:szCs w:val="24"/>
        </w:rPr>
        <w:object w:dxaOrig="165" w:dyaOrig="315" w14:anchorId="33DCF9AE">
          <v:shape id="_x0000_i1029" type="#_x0000_t75" style="width:8.35pt;height:15.9pt" o:ole="">
            <v:imagedata r:id="rId30" o:title=""/>
          </v:shape>
          <o:OLEObject Type="Embed" ProgID="Equation.3" ShapeID="_x0000_i1029" DrawAspect="Content" ObjectID="_1685875199" r:id="rId31"/>
        </w:object>
      </w:r>
      <w:r>
        <w:rPr>
          <w:rFonts w:eastAsia="Batang"/>
          <w:szCs w:val="24"/>
        </w:rPr>
        <w:t>- сумма начисления резерва на первый рабочий день отчетного года;</w:t>
      </w:r>
    </w:p>
    <w:p w14:paraId="7878ECD8" w14:textId="77777777" w:rsidR="000C1E0E" w:rsidRDefault="000C1E0E" w:rsidP="000C1E0E">
      <w:pPr>
        <w:pStyle w:val="12"/>
        <w:tabs>
          <w:tab w:val="left" w:pos="993"/>
        </w:tabs>
        <w:spacing w:line="360" w:lineRule="auto"/>
        <w:ind w:left="0"/>
        <w:jc w:val="both"/>
        <w:rPr>
          <w:rFonts w:eastAsia="Batang"/>
          <w:szCs w:val="24"/>
        </w:rPr>
      </w:pPr>
      <w:r>
        <w:rPr>
          <w:rFonts w:eastAsia="Batang"/>
          <w:szCs w:val="24"/>
        </w:rPr>
        <w:object w:dxaOrig="255" w:dyaOrig="255" w14:anchorId="3F6368CB">
          <v:shape id="_x0000_i1030" type="#_x0000_t75" style="width:12.55pt;height:12.55pt" o:ole="">
            <v:imagedata r:id="rId32" o:title=""/>
          </v:shape>
          <o:OLEObject Type="Embed" ProgID="Equation.3" ShapeID="_x0000_i1030" DrawAspect="Content" ObjectID="_1685875200" r:id="rId33"/>
        </w:object>
      </w:r>
      <w:r>
        <w:rPr>
          <w:rFonts w:eastAsia="Batang"/>
          <w:szCs w:val="24"/>
        </w:rPr>
        <w:t xml:space="preserve"> - количество рабочих дней в текущем календарном году;</w:t>
      </w:r>
    </w:p>
    <w:p w14:paraId="522316ED" w14:textId="77777777" w:rsidR="000C1E0E" w:rsidRDefault="000C1E0E" w:rsidP="000C1E0E">
      <w:pPr>
        <w:pStyle w:val="12"/>
        <w:tabs>
          <w:tab w:val="left" w:pos="993"/>
        </w:tabs>
        <w:spacing w:line="360" w:lineRule="auto"/>
        <w:ind w:left="0"/>
        <w:jc w:val="both"/>
        <w:rPr>
          <w:rFonts w:eastAsia="Batang"/>
          <w:szCs w:val="24"/>
        </w:rPr>
      </w:pPr>
      <w:r>
        <w:rPr>
          <w:rFonts w:eastAsia="Batang"/>
          <w:szCs w:val="24"/>
        </w:rPr>
        <w:object w:dxaOrig="855" w:dyaOrig="375" w14:anchorId="63B812C1">
          <v:shape id="_x0000_i1031" type="#_x0000_t75" style="width:42.7pt;height:18.4pt" o:ole="">
            <v:imagedata r:id="rId34" o:title=""/>
          </v:shape>
          <o:OLEObject Type="Embed" ProgID="Equation.3" ShapeID="_x0000_i1031" DrawAspect="Content" ObjectID="_1685875201" r:id="rId35"/>
        </w:object>
      </w:r>
      <w:r>
        <w:rPr>
          <w:rFonts w:eastAsia="Batang"/>
          <w:szCs w:val="24"/>
        </w:rPr>
        <w:t xml:space="preserve">- расчетная (промежуточная) величина СЧА на первый рабочий день отчетного года, в который начисляется резерв </w:t>
      </w:r>
      <w:r>
        <w:rPr>
          <w:rFonts w:eastAsia="Batang"/>
          <w:szCs w:val="24"/>
        </w:rPr>
        <w:object w:dxaOrig="255" w:dyaOrig="375" w14:anchorId="27B45C3E">
          <v:shape id="_x0000_i1032" type="#_x0000_t75" style="width:12.55pt;height:18.4pt" o:ole="">
            <v:imagedata r:id="rId36" o:title=""/>
          </v:shape>
          <o:OLEObject Type="Embed" ProgID="Equation.3" ShapeID="_x0000_i1032" DrawAspect="Content" ObjectID="_1685875202" r:id="rId37"/>
        </w:object>
      </w:r>
      <w:r>
        <w:rPr>
          <w:rFonts w:eastAsia="Batang"/>
          <w:szCs w:val="24"/>
        </w:rPr>
        <w:t>, определенная с точностью до 2 – х знаков после запятой по формуле:</w:t>
      </w:r>
    </w:p>
    <w:p w14:paraId="273350B3" w14:textId="77777777" w:rsidR="000C1E0E" w:rsidRDefault="000C1E0E" w:rsidP="000C1E0E">
      <w:pPr>
        <w:pStyle w:val="12"/>
        <w:tabs>
          <w:tab w:val="left" w:pos="993"/>
        </w:tabs>
        <w:spacing w:line="360" w:lineRule="auto"/>
        <w:ind w:left="0"/>
        <w:jc w:val="both"/>
        <w:rPr>
          <w:rFonts w:eastAsia="Batang"/>
          <w:szCs w:val="24"/>
        </w:rPr>
      </w:pPr>
      <w:r>
        <w:rPr>
          <w:rFonts w:eastAsia="Batang"/>
          <w:szCs w:val="24"/>
        </w:rPr>
        <w:object w:dxaOrig="2685" w:dyaOrig="975" w14:anchorId="4D43801A">
          <v:shape id="_x0000_i1033" type="#_x0000_t75" style="width:133.95pt;height:48.55pt" o:ole="">
            <v:imagedata r:id="rId38" o:title=""/>
          </v:shape>
          <o:OLEObject Type="Embed" ProgID="Equation.3" ShapeID="_x0000_i1033" DrawAspect="Content" ObjectID="_1685875203" r:id="rId39"/>
        </w:object>
      </w:r>
    </w:p>
    <w:p w14:paraId="76ABAB41" w14:textId="77777777" w:rsidR="000C1E0E" w:rsidRDefault="000C1E0E" w:rsidP="000C1E0E">
      <w:pPr>
        <w:pStyle w:val="12"/>
        <w:tabs>
          <w:tab w:val="left" w:pos="993"/>
        </w:tabs>
        <w:spacing w:line="360" w:lineRule="auto"/>
        <w:ind w:left="0"/>
        <w:jc w:val="both"/>
        <w:rPr>
          <w:rFonts w:eastAsia="Batang"/>
          <w:szCs w:val="24"/>
        </w:rPr>
      </w:pPr>
      <w:r>
        <w:rPr>
          <w:rFonts w:eastAsia="Batang"/>
          <w:szCs w:val="24"/>
        </w:rPr>
        <w:object w:dxaOrig="975" w:dyaOrig="345" w14:anchorId="31964D86">
          <v:shape id="_x0000_i1034" type="#_x0000_t75" style="width:48.55pt;height:17.6pt" o:ole="">
            <v:imagedata r:id="rId40" o:title=""/>
          </v:shape>
          <o:OLEObject Type="Embed" ProgID="Equation.3" ShapeID="_x0000_i1034" DrawAspect="Content" ObjectID="_1685875204" r:id="rId41"/>
        </w:object>
      </w:r>
      <w:r>
        <w:rPr>
          <w:rFonts w:eastAsia="Batang"/>
          <w:szCs w:val="24"/>
        </w:rPr>
        <w:t xml:space="preserve">- расчетная величина активов, включая дебиторскую задолженность на первый рабочий день отчетного года. Дебиторскую задолженность на первый рабочий день отчетного года необходимо учитывать до начисления вознаграждений и резерва на выплату вознаграждения за первый рабочий день отчетного года. В случае оплаты в первый рабочий день отчетного года Управляющей компанией из ПИФ вознаграждений, начисленных в первый рабочий день отчетного года, необходимо при определении расчетной величины активов на первый рабочий день отчетного года увеличить сумму активов на сумму уплаченных вознаграждений в первый рабочий день отчетного года. </w:t>
      </w:r>
    </w:p>
    <w:p w14:paraId="32D5E0B7" w14:textId="77777777" w:rsidR="000C1E0E" w:rsidRDefault="000C1E0E" w:rsidP="000C1E0E">
      <w:pPr>
        <w:pStyle w:val="12"/>
        <w:tabs>
          <w:tab w:val="left" w:pos="993"/>
        </w:tabs>
        <w:spacing w:line="360" w:lineRule="auto"/>
        <w:ind w:left="0"/>
        <w:jc w:val="both"/>
        <w:rPr>
          <w:rFonts w:eastAsia="Batang"/>
          <w:szCs w:val="24"/>
        </w:rPr>
      </w:pPr>
      <w:r>
        <w:rPr>
          <w:rFonts w:eastAsia="Batang"/>
          <w:szCs w:val="24"/>
        </w:rPr>
        <w:object w:dxaOrig="465" w:dyaOrig="345" w14:anchorId="6E28CC9E">
          <v:shape id="_x0000_i1035" type="#_x0000_t75" style="width:23.45pt;height:17.6pt" o:ole="">
            <v:imagedata r:id="rId42" o:title=""/>
          </v:shape>
          <o:OLEObject Type="Embed" ProgID="Equation.3" ShapeID="_x0000_i1035" DrawAspect="Content" ObjectID="_1685875205" r:id="rId43"/>
        </w:object>
      </w:r>
      <w:r>
        <w:rPr>
          <w:rFonts w:eastAsia="Batang"/>
          <w:szCs w:val="24"/>
        </w:rPr>
        <w:t xml:space="preserve"> - величина кредиторской задолженности без учета начисленных вознаграждений на первый рабочий день отчетного года.</w:t>
      </w:r>
    </w:p>
    <w:p w14:paraId="521A88F2" w14:textId="77777777" w:rsidR="000C1E0E" w:rsidRDefault="000C1E0E" w:rsidP="000C1E0E">
      <w:pPr>
        <w:pStyle w:val="12"/>
        <w:tabs>
          <w:tab w:val="left" w:pos="993"/>
        </w:tabs>
        <w:spacing w:line="360" w:lineRule="auto"/>
        <w:ind w:left="0"/>
        <w:jc w:val="both"/>
        <w:rPr>
          <w:rFonts w:eastAsia="Batang"/>
          <w:szCs w:val="24"/>
        </w:rPr>
      </w:pPr>
      <w:r>
        <w:rPr>
          <w:rFonts w:eastAsia="Batang"/>
          <w:szCs w:val="24"/>
        </w:rPr>
        <w:object w:dxaOrig="165" w:dyaOrig="165" w14:anchorId="2E3EB96B">
          <v:shape id="_x0000_i1036" type="#_x0000_t75" style="width:8.35pt;height:8.35pt" o:ole="">
            <v:imagedata r:id="rId44" o:title=""/>
          </v:shape>
          <o:OLEObject Type="Embed" ProgID="Equation.3" ShapeID="_x0000_i1036" DrawAspect="Content" ObjectID="_1685875206" r:id="rId45"/>
        </w:object>
      </w:r>
      <w:r>
        <w:rPr>
          <w:rFonts w:eastAsia="Batang"/>
          <w:szCs w:val="24"/>
        </w:rPr>
        <w:t>- процентная ставка, соответствующая:</w:t>
      </w:r>
    </w:p>
    <w:p w14:paraId="5F049C28" w14:textId="77777777" w:rsidR="000C1E0E" w:rsidRDefault="000C1E0E" w:rsidP="000C1E0E">
      <w:pPr>
        <w:pStyle w:val="12"/>
        <w:tabs>
          <w:tab w:val="left" w:pos="993"/>
        </w:tabs>
        <w:spacing w:line="360" w:lineRule="auto"/>
        <w:ind w:left="0"/>
        <w:jc w:val="both"/>
        <w:rPr>
          <w:rFonts w:eastAsia="Batang"/>
          <w:szCs w:val="24"/>
        </w:rPr>
      </w:pPr>
      <w:r>
        <w:rPr>
          <w:rFonts w:eastAsia="Batang"/>
          <w:szCs w:val="24"/>
        </w:rPr>
        <w:object w:dxaOrig="525" w:dyaOrig="435" w14:anchorId="375C06A1">
          <v:shape id="_x0000_i1037" type="#_x0000_t75" style="width:25.95pt;height:21.75pt" o:ole="">
            <v:imagedata r:id="rId46" o:title=""/>
          </v:shape>
          <o:OLEObject Type="Embed" ProgID="Equation.3" ShapeID="_x0000_i1037" DrawAspect="Content" ObjectID="_1685875207" r:id="rId47"/>
        </w:object>
      </w:r>
      <w:r>
        <w:rPr>
          <w:rFonts w:eastAsia="Batang"/>
          <w:szCs w:val="24"/>
        </w:rPr>
        <w:t xml:space="preserve"> - размер вознаграждения Управляющей компании относительно СГСЧА, установленный правилами ДУ ПИФ (в долях), действующий на первый рабочий день отчетного года;</w:t>
      </w:r>
    </w:p>
    <w:p w14:paraId="4EE7881E" w14:textId="77777777" w:rsidR="000C1E0E" w:rsidRDefault="000C1E0E" w:rsidP="000C1E0E">
      <w:pPr>
        <w:pStyle w:val="12"/>
        <w:tabs>
          <w:tab w:val="left" w:pos="993"/>
        </w:tabs>
        <w:spacing w:line="360" w:lineRule="auto"/>
        <w:ind w:left="0"/>
        <w:jc w:val="both"/>
        <w:rPr>
          <w:rFonts w:eastAsia="Batang"/>
          <w:szCs w:val="24"/>
        </w:rPr>
      </w:pPr>
      <w:r>
        <w:rPr>
          <w:rFonts w:eastAsia="Batang"/>
          <w:szCs w:val="24"/>
        </w:rPr>
        <w:object w:dxaOrig="495" w:dyaOrig="465" w14:anchorId="60771046">
          <v:shape id="_x0000_i1038" type="#_x0000_t75" style="width:25.1pt;height:23.45pt" o:ole="">
            <v:imagedata r:id="rId48" o:title=""/>
          </v:shape>
          <o:OLEObject Type="Embed" ProgID="Equation.3" ShapeID="_x0000_i1038" DrawAspect="Content" ObjectID="_1685875208" r:id="rId49"/>
        </w:object>
      </w:r>
      <w:r>
        <w:rPr>
          <w:rFonts w:eastAsia="Batang"/>
          <w:szCs w:val="24"/>
        </w:rPr>
        <w:t xml:space="preserve"> - совокупный размер вознаграждений специализированному депозитарию, аудиторской организации, и лицу, осуществляющему ведение реестра владельцев инвестиционных паев ПИФ, относительно СГСЧА, установленный правилами ДУ (в долях), действующий на первый рабочий день отчетного года;</w:t>
      </w:r>
    </w:p>
    <w:p w14:paraId="235DBBB8" w14:textId="77777777" w:rsidR="000C1E0E" w:rsidRDefault="000C1E0E" w:rsidP="000C1E0E">
      <w:pPr>
        <w:pStyle w:val="12"/>
        <w:tabs>
          <w:tab w:val="left" w:pos="993"/>
        </w:tabs>
        <w:spacing w:line="360" w:lineRule="auto"/>
        <w:ind w:left="0"/>
        <w:jc w:val="both"/>
        <w:rPr>
          <w:rFonts w:eastAsia="Batang"/>
          <w:szCs w:val="24"/>
        </w:rPr>
      </w:pPr>
      <w:r>
        <w:rPr>
          <w:rFonts w:eastAsia="Batang"/>
          <w:szCs w:val="24"/>
        </w:rPr>
        <w:object w:dxaOrig="255" w:dyaOrig="375" w14:anchorId="52B839B3">
          <v:shape id="_x0000_i1039" type="#_x0000_t75" style="width:12.55pt;height:18.4pt" o:ole="">
            <v:imagedata r:id="rId50" o:title=""/>
          </v:shape>
          <o:OLEObject Type="Embed" ProgID="Equation.3" ShapeID="_x0000_i1039" DrawAspect="Content" ObjectID="_1685875209" r:id="rId51"/>
        </w:object>
      </w:r>
      <w:r>
        <w:rPr>
          <w:rFonts w:eastAsia="Batang"/>
          <w:szCs w:val="24"/>
        </w:rPr>
        <w:t>- каждая процентная ставка, действовавшая на первый рабочий день отчетного года</w:t>
      </w:r>
    </w:p>
    <w:p w14:paraId="5DF74CFF" w14:textId="77777777" w:rsidR="000C1E0E" w:rsidRDefault="000C1E0E" w:rsidP="000C1E0E">
      <w:pPr>
        <w:pStyle w:val="12"/>
        <w:tabs>
          <w:tab w:val="left" w:pos="993"/>
        </w:tabs>
        <w:spacing w:line="360" w:lineRule="auto"/>
        <w:ind w:left="0"/>
        <w:jc w:val="both"/>
        <w:rPr>
          <w:rFonts w:eastAsia="Batang"/>
          <w:szCs w:val="24"/>
        </w:rPr>
      </w:pPr>
      <w:r>
        <w:rPr>
          <w:rFonts w:eastAsia="Batang"/>
          <w:szCs w:val="24"/>
        </w:rPr>
        <w:t xml:space="preserve">Значение  </w:t>
      </w:r>
      <w:r>
        <w:rPr>
          <w:rFonts w:eastAsia="Batang"/>
          <w:szCs w:val="24"/>
        </w:rPr>
        <w:fldChar w:fldCharType="begin"/>
      </w:r>
      <w:r>
        <w:rPr>
          <w:rFonts w:eastAsia="Batang"/>
          <w:szCs w:val="24"/>
        </w:rPr>
        <w:instrText xml:space="preserve"> QUOTE </w:instrText>
      </w:r>
      <w:r>
        <w:rPr>
          <w:rFonts w:eastAsia="Batang"/>
          <w:noProof/>
          <w:position w:val="-48"/>
          <w:szCs w:val="24"/>
        </w:rPr>
        <w:drawing>
          <wp:inline distT="0" distB="0" distL="0" distR="0" wp14:anchorId="20B6D56F" wp14:editId="2126D8AB">
            <wp:extent cx="1190625" cy="733425"/>
            <wp:effectExtent l="0" t="0" r="9525" b="9525"/>
            <wp:docPr id="7"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1"/>
                    <pic:cNvPicPr>
                      <a:picLocks noChangeAspect="1" noChangeArrowheads="1"/>
                    </pic:cNvPicPr>
                  </pic:nvPicPr>
                  <pic:blipFill>
                    <a:blip r:embed="rId52">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1190625" cy="733425"/>
                    </a:xfrm>
                    <a:prstGeom prst="rect">
                      <a:avLst/>
                    </a:prstGeom>
                    <a:noFill/>
                    <a:ln>
                      <a:noFill/>
                    </a:ln>
                  </pic:spPr>
                </pic:pic>
              </a:graphicData>
            </a:graphic>
          </wp:inline>
        </w:drawing>
      </w:r>
      <w:r>
        <w:rPr>
          <w:rFonts w:eastAsia="Batang"/>
          <w:szCs w:val="24"/>
        </w:rPr>
        <w:instrText xml:space="preserve"> </w:instrText>
      </w:r>
      <w:r>
        <w:rPr>
          <w:rFonts w:eastAsia="Batang"/>
          <w:szCs w:val="24"/>
        </w:rPr>
        <w:fldChar w:fldCharType="separate"/>
      </w:r>
      <w:r>
        <w:rPr>
          <w:rFonts w:eastAsia="Batang"/>
          <w:noProof/>
          <w:position w:val="-48"/>
          <w:szCs w:val="24"/>
        </w:rPr>
        <w:drawing>
          <wp:inline distT="0" distB="0" distL="0" distR="0" wp14:anchorId="6A52EDB0" wp14:editId="0A75636A">
            <wp:extent cx="1190625" cy="733425"/>
            <wp:effectExtent l="0" t="0" r="9525" b="9525"/>
            <wp:docPr id="6"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2"/>
                    <pic:cNvPicPr>
                      <a:picLocks noChangeAspect="1" noChangeArrowheads="1"/>
                    </pic:cNvPicPr>
                  </pic:nvPicPr>
                  <pic:blipFill>
                    <a:blip r:embed="rId52">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1190625" cy="733425"/>
                    </a:xfrm>
                    <a:prstGeom prst="rect">
                      <a:avLst/>
                    </a:prstGeom>
                    <a:noFill/>
                    <a:ln>
                      <a:noFill/>
                    </a:ln>
                  </pic:spPr>
                </pic:pic>
              </a:graphicData>
            </a:graphic>
          </wp:inline>
        </w:drawing>
      </w:r>
      <w:r>
        <w:rPr>
          <w:rFonts w:eastAsia="Batang"/>
          <w:szCs w:val="24"/>
        </w:rPr>
        <w:fldChar w:fldCharType="end"/>
      </w:r>
      <w:r>
        <w:rPr>
          <w:rFonts w:eastAsia="Batang"/>
          <w:szCs w:val="24"/>
        </w:rPr>
        <w:t xml:space="preserve">   не округляется.</w:t>
      </w:r>
    </w:p>
    <w:p w14:paraId="7351B397" w14:textId="77777777" w:rsidR="000C1E0E" w:rsidRDefault="000C1E0E" w:rsidP="000C1E0E">
      <w:pPr>
        <w:pStyle w:val="12"/>
        <w:tabs>
          <w:tab w:val="left" w:pos="993"/>
        </w:tabs>
        <w:spacing w:line="360" w:lineRule="auto"/>
        <w:ind w:left="0"/>
        <w:jc w:val="both"/>
        <w:rPr>
          <w:rFonts w:eastAsia="Batang"/>
          <w:szCs w:val="24"/>
        </w:rPr>
      </w:pPr>
      <w:r>
        <w:rPr>
          <w:rFonts w:eastAsia="Batang"/>
          <w:szCs w:val="24"/>
        </w:rPr>
        <w:t xml:space="preserve">Округление при расчете </w:t>
      </w:r>
      <w:r>
        <w:rPr>
          <w:rFonts w:eastAsia="Batang"/>
          <w:szCs w:val="24"/>
        </w:rPr>
        <w:object w:dxaOrig="255" w:dyaOrig="375" w14:anchorId="008A73EE">
          <v:shape id="_x0000_i1040" type="#_x0000_t75" style="width:12.55pt;height:18.4pt" o:ole="">
            <v:imagedata r:id="rId53" o:title=""/>
          </v:shape>
          <o:OLEObject Type="Embed" ProgID="Equation.3" ShapeID="_x0000_i1040" DrawAspect="Content" ObjectID="_1685875210" r:id="rId54"/>
        </w:object>
      </w:r>
      <w:r>
        <w:rPr>
          <w:rFonts w:eastAsia="Batang"/>
          <w:szCs w:val="24"/>
        </w:rPr>
        <w:t xml:space="preserve"> и </w:t>
      </w:r>
      <w:r>
        <w:rPr>
          <w:rFonts w:eastAsia="Batang"/>
          <w:szCs w:val="24"/>
        </w:rPr>
        <w:object w:dxaOrig="855" w:dyaOrig="375" w14:anchorId="5A8E1427">
          <v:shape id="_x0000_i1041" type="#_x0000_t75" style="width:42.7pt;height:18.4pt" o:ole="">
            <v:imagedata r:id="rId55" o:title=""/>
          </v:shape>
          <o:OLEObject Type="Embed" ProgID="Equation.3" ShapeID="_x0000_i1041" DrawAspect="Content" ObjectID="_1685875211" r:id="rId56"/>
        </w:object>
      </w:r>
      <w:r>
        <w:rPr>
          <w:rFonts w:eastAsia="Batang"/>
          <w:szCs w:val="24"/>
        </w:rPr>
        <w:t>производится на каждом действии до 2-х знаков после запятой.</w:t>
      </w:r>
    </w:p>
    <w:p w14:paraId="2063A9B5" w14:textId="77777777" w:rsidR="000C1E0E" w:rsidRDefault="000C1E0E" w:rsidP="000C1E0E">
      <w:pPr>
        <w:pStyle w:val="12"/>
        <w:tabs>
          <w:tab w:val="left" w:pos="993"/>
        </w:tabs>
        <w:spacing w:line="360" w:lineRule="auto"/>
        <w:ind w:left="0"/>
        <w:jc w:val="both"/>
        <w:rPr>
          <w:rFonts w:eastAsia="Batang"/>
          <w:szCs w:val="24"/>
        </w:rPr>
      </w:pPr>
    </w:p>
    <w:p w14:paraId="2A72565A" w14:textId="77777777" w:rsidR="000C1E0E" w:rsidRDefault="000C1E0E" w:rsidP="000C1E0E">
      <w:pPr>
        <w:pStyle w:val="12"/>
        <w:tabs>
          <w:tab w:val="left" w:pos="993"/>
        </w:tabs>
        <w:spacing w:line="360" w:lineRule="auto"/>
        <w:ind w:left="0"/>
        <w:jc w:val="both"/>
        <w:rPr>
          <w:rFonts w:eastAsia="Batang"/>
          <w:szCs w:val="24"/>
        </w:rPr>
      </w:pPr>
      <w:r>
        <w:rPr>
          <w:rFonts w:eastAsia="Batang"/>
          <w:szCs w:val="24"/>
        </w:rPr>
        <w:t>на другие дни определения СЧА (за исключением первого рабочего дня отчетного года):</w:t>
      </w:r>
    </w:p>
    <w:p w14:paraId="7F678D1D" w14:textId="77777777" w:rsidR="000C1E0E" w:rsidRDefault="000C1E0E" w:rsidP="000C1E0E">
      <w:pPr>
        <w:pStyle w:val="12"/>
        <w:tabs>
          <w:tab w:val="left" w:pos="993"/>
        </w:tabs>
        <w:spacing w:line="360" w:lineRule="auto"/>
        <w:ind w:left="0"/>
        <w:jc w:val="both"/>
        <w:rPr>
          <w:rFonts w:eastAsia="Batang"/>
          <w:szCs w:val="24"/>
        </w:rPr>
      </w:pPr>
      <w:r>
        <w:rPr>
          <w:rFonts w:eastAsia="Batang"/>
          <w:szCs w:val="24"/>
        </w:rPr>
        <w:object w:dxaOrig="4455" w:dyaOrig="1005" w14:anchorId="17A7F9D5">
          <v:shape id="_x0000_i1042" type="#_x0000_t75" style="width:222.7pt;height:50.25pt" o:ole="">
            <v:imagedata r:id="rId57" o:title=""/>
          </v:shape>
          <o:OLEObject Type="Embed" ProgID="Equation.3" ShapeID="_x0000_i1042" DrawAspect="Content" ObjectID="_1685875212" r:id="rId58"/>
        </w:object>
      </w:r>
    </w:p>
    <w:p w14:paraId="429D8A3F" w14:textId="77777777" w:rsidR="000C1E0E" w:rsidRDefault="000C1E0E" w:rsidP="000C1E0E">
      <w:pPr>
        <w:pStyle w:val="12"/>
        <w:tabs>
          <w:tab w:val="left" w:pos="993"/>
        </w:tabs>
        <w:spacing w:line="360" w:lineRule="auto"/>
        <w:ind w:left="0"/>
        <w:jc w:val="both"/>
        <w:rPr>
          <w:rFonts w:eastAsia="Batang"/>
          <w:szCs w:val="24"/>
        </w:rPr>
      </w:pPr>
      <w:r>
        <w:rPr>
          <w:rFonts w:eastAsia="Batang"/>
          <w:szCs w:val="24"/>
        </w:rPr>
        <w:t>где:</w:t>
      </w:r>
    </w:p>
    <w:p w14:paraId="30CD5E57" w14:textId="77777777" w:rsidR="000C1E0E" w:rsidRDefault="000C1E0E" w:rsidP="000C1E0E">
      <w:pPr>
        <w:pStyle w:val="12"/>
        <w:tabs>
          <w:tab w:val="left" w:pos="993"/>
        </w:tabs>
        <w:spacing w:line="360" w:lineRule="auto"/>
        <w:ind w:left="0"/>
        <w:jc w:val="both"/>
        <w:rPr>
          <w:rFonts w:eastAsia="Batang"/>
          <w:szCs w:val="24"/>
        </w:rPr>
      </w:pPr>
      <w:r>
        <w:rPr>
          <w:rFonts w:eastAsia="Batang"/>
          <w:szCs w:val="24"/>
        </w:rPr>
        <w:t>k – порядковый номер каждого начисления резерва в отчетном году, принимающий значения от 1 до i. k=i – порядковый номер последнего (текущего) начисления резерва;</w:t>
      </w:r>
    </w:p>
    <w:p w14:paraId="51A90612" w14:textId="77777777" w:rsidR="000C1E0E" w:rsidRDefault="000C1E0E" w:rsidP="000C1E0E">
      <w:pPr>
        <w:pStyle w:val="12"/>
        <w:tabs>
          <w:tab w:val="left" w:pos="993"/>
        </w:tabs>
        <w:spacing w:line="360" w:lineRule="auto"/>
        <w:ind w:left="0"/>
        <w:jc w:val="both"/>
        <w:rPr>
          <w:rFonts w:eastAsia="Batang"/>
          <w:szCs w:val="24"/>
        </w:rPr>
      </w:pPr>
      <w:r>
        <w:rPr>
          <w:rFonts w:eastAsia="Batang"/>
          <w:szCs w:val="24"/>
        </w:rPr>
        <w:object w:dxaOrig="285" w:dyaOrig="375" w14:anchorId="22282145">
          <v:shape id="_x0000_i1043" type="#_x0000_t75" style="width:14.25pt;height:18.4pt" o:ole="">
            <v:imagedata r:id="rId59" o:title=""/>
          </v:shape>
          <o:OLEObject Type="Embed" ProgID="Equation.3" ShapeID="_x0000_i1043" DrawAspect="Content" ObjectID="_1685875213" r:id="rId60"/>
        </w:object>
      </w:r>
      <w:r>
        <w:rPr>
          <w:rFonts w:eastAsia="Batang"/>
          <w:szCs w:val="24"/>
        </w:rPr>
        <w:t xml:space="preserve">- сумма каждого произведенного в текущем отчетном году начисления резерва;     </w:t>
      </w:r>
    </w:p>
    <w:p w14:paraId="5C5AD1E7" w14:textId="77777777" w:rsidR="000C1E0E" w:rsidRDefault="000C1E0E" w:rsidP="000C1E0E">
      <w:pPr>
        <w:pStyle w:val="12"/>
        <w:tabs>
          <w:tab w:val="left" w:pos="993"/>
        </w:tabs>
        <w:spacing w:line="360" w:lineRule="auto"/>
        <w:ind w:left="0"/>
        <w:jc w:val="both"/>
        <w:rPr>
          <w:rFonts w:eastAsia="Batang"/>
          <w:szCs w:val="24"/>
        </w:rPr>
      </w:pPr>
      <w:r>
        <w:rPr>
          <w:rFonts w:eastAsia="Batang"/>
          <w:szCs w:val="24"/>
        </w:rPr>
        <w:object w:dxaOrig="255" w:dyaOrig="360" w14:anchorId="78911314">
          <v:shape id="_x0000_i1044" type="#_x0000_t75" style="width:12.55pt;height:18.4pt" o:ole="">
            <v:imagedata r:id="rId61" o:title=""/>
          </v:shape>
          <o:OLEObject Type="Embed" ProgID="Equation.3" ShapeID="_x0000_i1044" DrawAspect="Content" ObjectID="_1685875214" r:id="rId62"/>
        </w:object>
      </w:r>
      <w:r>
        <w:rPr>
          <w:rFonts w:eastAsia="Batang"/>
          <w:szCs w:val="24"/>
        </w:rPr>
        <w:t>- сумма очередного (текущего) начисления резерва в текущем отчетном году;</w:t>
      </w:r>
    </w:p>
    <w:p w14:paraId="2333844E" w14:textId="77777777" w:rsidR="000C1E0E" w:rsidRDefault="000C1E0E" w:rsidP="000C1E0E">
      <w:pPr>
        <w:pStyle w:val="12"/>
        <w:tabs>
          <w:tab w:val="left" w:pos="993"/>
        </w:tabs>
        <w:spacing w:line="360" w:lineRule="auto"/>
        <w:ind w:left="0"/>
        <w:jc w:val="both"/>
        <w:rPr>
          <w:rFonts w:eastAsia="Batang"/>
          <w:szCs w:val="24"/>
        </w:rPr>
      </w:pPr>
      <w:r>
        <w:rPr>
          <w:rFonts w:eastAsia="Batang"/>
          <w:szCs w:val="24"/>
        </w:rPr>
        <w:object w:dxaOrig="240" w:dyaOrig="240" w14:anchorId="7095DD40">
          <v:shape id="_x0000_i1045" type="#_x0000_t75" style="width:11.7pt;height:11.7pt" o:ole="">
            <v:imagedata r:id="rId32" o:title=""/>
          </v:shape>
          <o:OLEObject Type="Embed" ProgID="Equation.3" ShapeID="_x0000_i1045" DrawAspect="Content" ObjectID="_1685875215" r:id="rId63"/>
        </w:object>
      </w:r>
      <w:r>
        <w:rPr>
          <w:rFonts w:eastAsia="Batang"/>
          <w:szCs w:val="24"/>
        </w:rPr>
        <w:t xml:space="preserve"> - количество рабочих дней в текущем календарном году;</w:t>
      </w:r>
    </w:p>
    <w:p w14:paraId="0A6761B5" w14:textId="77777777" w:rsidR="000C1E0E" w:rsidRDefault="000C1E0E" w:rsidP="000C1E0E">
      <w:pPr>
        <w:pStyle w:val="12"/>
        <w:tabs>
          <w:tab w:val="left" w:pos="993"/>
        </w:tabs>
        <w:spacing w:line="360" w:lineRule="auto"/>
        <w:ind w:left="0"/>
        <w:jc w:val="both"/>
        <w:rPr>
          <w:rFonts w:eastAsia="Batang"/>
          <w:szCs w:val="24"/>
        </w:rPr>
      </w:pPr>
      <w:r>
        <w:rPr>
          <w:rFonts w:eastAsia="Batang"/>
          <w:szCs w:val="24"/>
        </w:rPr>
        <w:object w:dxaOrig="240" w:dyaOrig="360" w14:anchorId="4055CB2C">
          <v:shape id="_x0000_i1046" type="#_x0000_t75" style="width:11.7pt;height:18.4pt" o:ole="">
            <v:imagedata r:id="rId64" o:title=""/>
          </v:shape>
          <o:OLEObject Type="Embed" ProgID="Equation.3" ShapeID="_x0000_i1046" DrawAspect="Content" ObjectID="_1685875216" r:id="rId65"/>
        </w:object>
      </w:r>
      <w:r>
        <w:rPr>
          <w:rFonts w:eastAsia="Batang"/>
          <w:szCs w:val="24"/>
        </w:rPr>
        <w:t xml:space="preserve">- количество рабочих дней периода, определенного с начала текущего отчетного года до (включая) даты начисления резерва </w:t>
      </w:r>
      <w:r>
        <w:rPr>
          <w:rFonts w:eastAsia="Batang"/>
          <w:szCs w:val="24"/>
        </w:rPr>
        <w:object w:dxaOrig="240" w:dyaOrig="360" w14:anchorId="3660389E">
          <v:shape id="_x0000_i1047" type="#_x0000_t75" style="width:11.7pt;height:18.4pt" o:ole="">
            <v:imagedata r:id="rId61" o:title=""/>
          </v:shape>
          <o:OLEObject Type="Embed" ProgID="Equation.3" ShapeID="_x0000_i1047" DrawAspect="Content" ObjectID="_1685875217" r:id="rId66"/>
        </w:object>
      </w:r>
      <w:r>
        <w:rPr>
          <w:rFonts w:eastAsia="Batang"/>
          <w:szCs w:val="24"/>
        </w:rPr>
        <w:t xml:space="preserve">; </w:t>
      </w:r>
    </w:p>
    <w:p w14:paraId="3B1C072A" w14:textId="77777777" w:rsidR="000C1E0E" w:rsidRDefault="000C1E0E" w:rsidP="000C1E0E">
      <w:pPr>
        <w:pStyle w:val="12"/>
        <w:tabs>
          <w:tab w:val="left" w:pos="993"/>
        </w:tabs>
        <w:spacing w:line="360" w:lineRule="auto"/>
        <w:ind w:left="0"/>
        <w:jc w:val="both"/>
        <w:rPr>
          <w:rFonts w:eastAsia="Batang"/>
          <w:szCs w:val="24"/>
        </w:rPr>
      </w:pPr>
      <w:r>
        <w:rPr>
          <w:rFonts w:eastAsia="Batang"/>
          <w:szCs w:val="24"/>
        </w:rPr>
        <w:t xml:space="preserve">t – порядковый номер рабочего дня, принадлежащего периоду, за который определено  </w:t>
      </w:r>
      <w:r>
        <w:rPr>
          <w:rFonts w:eastAsia="Batang"/>
          <w:szCs w:val="24"/>
        </w:rPr>
        <w:object w:dxaOrig="240" w:dyaOrig="360" w14:anchorId="2468D2E0">
          <v:shape id="_x0000_i1048" type="#_x0000_t75" style="width:11.7pt;height:18.4pt" o:ole="">
            <v:imagedata r:id="rId64" o:title=""/>
          </v:shape>
          <o:OLEObject Type="Embed" ProgID="Equation.3" ShapeID="_x0000_i1048" DrawAspect="Content" ObjectID="_1685875218" r:id="rId67"/>
        </w:object>
      </w:r>
      <w:r>
        <w:rPr>
          <w:rFonts w:eastAsia="Batang"/>
          <w:szCs w:val="24"/>
        </w:rPr>
        <w:t xml:space="preserve">, принимающий значения от 1 до d. t=d – порядковый номер рабочего дня начисления резерва </w:t>
      </w:r>
      <w:r>
        <w:rPr>
          <w:rFonts w:eastAsia="Batang"/>
          <w:szCs w:val="24"/>
        </w:rPr>
        <w:object w:dxaOrig="240" w:dyaOrig="360" w14:anchorId="646EAE2B">
          <v:shape id="_x0000_i1049" type="#_x0000_t75" style="width:11.7pt;height:18.4pt" o:ole="">
            <v:imagedata r:id="rId61" o:title=""/>
          </v:shape>
          <o:OLEObject Type="Embed" ProgID="Equation.3" ShapeID="_x0000_i1049" DrawAspect="Content" ObjectID="_1685875219" r:id="rId68"/>
        </w:object>
      </w:r>
      <w:r>
        <w:rPr>
          <w:rFonts w:eastAsia="Batang"/>
          <w:szCs w:val="24"/>
        </w:rPr>
        <w:t>;</w:t>
      </w:r>
    </w:p>
    <w:p w14:paraId="3D4BA8C1" w14:textId="4BE5105A" w:rsidR="000C1E0E" w:rsidRDefault="000C1E0E" w:rsidP="000C1E0E">
      <w:pPr>
        <w:pStyle w:val="12"/>
        <w:tabs>
          <w:tab w:val="left" w:pos="993"/>
        </w:tabs>
        <w:spacing w:line="360" w:lineRule="auto"/>
        <w:ind w:left="0"/>
        <w:jc w:val="both"/>
        <w:rPr>
          <w:rFonts w:eastAsia="Batang"/>
          <w:szCs w:val="24"/>
        </w:rPr>
      </w:pPr>
      <w:r>
        <w:rPr>
          <w:rFonts w:eastAsia="Batang"/>
          <w:szCs w:val="24"/>
        </w:rPr>
        <w:object w:dxaOrig="600" w:dyaOrig="360" w14:anchorId="051C9CD0">
          <v:shape id="_x0000_i1050" type="#_x0000_t75" style="width:30.15pt;height:18.4pt" o:ole="">
            <v:imagedata r:id="rId69" o:title=""/>
          </v:shape>
          <o:OLEObject Type="Embed" ProgID="Equation.3" ShapeID="_x0000_i1050" DrawAspect="Content" ObjectID="_1685875220" r:id="rId70"/>
        </w:object>
      </w:r>
      <w:r>
        <w:rPr>
          <w:rFonts w:eastAsia="Batang"/>
          <w:szCs w:val="24"/>
        </w:rPr>
        <w:t>- стоимость чистых активов по состоянию на конец каждого рабочего дня t, за исключением</w:t>
      </w:r>
      <w:r w:rsidR="00F91C71">
        <w:rPr>
          <w:rFonts w:eastAsia="Batang"/>
          <w:szCs w:val="24"/>
        </w:rPr>
        <w:t xml:space="preserve"> дня d. Если на рабочий день t </w:t>
      </w:r>
      <w:r>
        <w:rPr>
          <w:rFonts w:eastAsia="Batang"/>
          <w:szCs w:val="24"/>
        </w:rPr>
        <w:t>СЧА не определена, она принимается равной СЧА за предшествующий дню t рабочий день текущего отчетного года.</w:t>
      </w:r>
    </w:p>
    <w:p w14:paraId="1A95CD6E" w14:textId="77777777" w:rsidR="000C1E0E" w:rsidRDefault="000C1E0E" w:rsidP="000C1E0E">
      <w:pPr>
        <w:pStyle w:val="12"/>
        <w:tabs>
          <w:tab w:val="left" w:pos="993"/>
        </w:tabs>
        <w:spacing w:line="360" w:lineRule="auto"/>
        <w:ind w:left="0"/>
        <w:jc w:val="both"/>
        <w:rPr>
          <w:rFonts w:eastAsia="Batang"/>
          <w:szCs w:val="24"/>
        </w:rPr>
      </w:pPr>
      <w:r>
        <w:rPr>
          <w:rFonts w:eastAsia="Batang"/>
          <w:szCs w:val="24"/>
        </w:rPr>
        <w:object w:dxaOrig="855" w:dyaOrig="345" w14:anchorId="35B88E56">
          <v:shape id="_x0000_i1051" type="#_x0000_t75" style="width:42.7pt;height:17.6pt" o:ole="">
            <v:imagedata r:id="rId71" o:title=""/>
          </v:shape>
          <o:OLEObject Type="Embed" ProgID="Equation.3" ShapeID="_x0000_i1051" DrawAspect="Content" ObjectID="_1685875221" r:id="rId72"/>
        </w:object>
      </w:r>
      <w:r>
        <w:rPr>
          <w:rFonts w:eastAsia="Batang"/>
          <w:szCs w:val="24"/>
        </w:rPr>
        <w:t xml:space="preserve">- расчетная (промежуточная) величина СЧА на дату d, в которой начисляется резерв </w:t>
      </w:r>
      <w:r>
        <w:rPr>
          <w:rFonts w:eastAsia="Batang"/>
          <w:szCs w:val="24"/>
        </w:rPr>
        <w:object w:dxaOrig="240" w:dyaOrig="360" w14:anchorId="04394A9E">
          <v:shape id="_x0000_i1052" type="#_x0000_t75" style="width:11.7pt;height:18.4pt" o:ole="">
            <v:imagedata r:id="rId61" o:title=""/>
          </v:shape>
          <o:OLEObject Type="Embed" ProgID="Equation.3" ShapeID="_x0000_i1052" DrawAspect="Content" ObjectID="_1685875222" r:id="rId73"/>
        </w:object>
      </w:r>
      <w:r>
        <w:rPr>
          <w:rFonts w:eastAsia="Batang"/>
          <w:szCs w:val="24"/>
        </w:rPr>
        <w:t>, определенная с точностью до 2-х знаков после запятой по формуле:</w:t>
      </w:r>
    </w:p>
    <w:p w14:paraId="7FF6BC37" w14:textId="77777777" w:rsidR="000C1E0E" w:rsidRDefault="000C1E0E" w:rsidP="000C1E0E">
      <w:pPr>
        <w:pStyle w:val="12"/>
        <w:tabs>
          <w:tab w:val="left" w:pos="993"/>
        </w:tabs>
        <w:spacing w:line="360" w:lineRule="auto"/>
        <w:ind w:left="0"/>
        <w:jc w:val="both"/>
        <w:rPr>
          <w:rFonts w:eastAsia="Batang"/>
          <w:szCs w:val="24"/>
        </w:rPr>
      </w:pPr>
    </w:p>
    <w:p w14:paraId="379F8038" w14:textId="77777777" w:rsidR="000C1E0E" w:rsidRDefault="000C1E0E" w:rsidP="000C1E0E">
      <w:pPr>
        <w:pStyle w:val="12"/>
        <w:tabs>
          <w:tab w:val="left" w:pos="993"/>
        </w:tabs>
        <w:spacing w:line="360" w:lineRule="auto"/>
        <w:ind w:left="0"/>
        <w:jc w:val="both"/>
        <w:rPr>
          <w:rFonts w:eastAsia="Batang"/>
          <w:szCs w:val="24"/>
        </w:rPr>
      </w:pPr>
      <w:r>
        <w:rPr>
          <w:rFonts w:eastAsia="Batang"/>
          <w:szCs w:val="24"/>
        </w:rPr>
        <w:object w:dxaOrig="7620" w:dyaOrig="2625" w14:anchorId="24F04CEB">
          <v:shape id="_x0000_i1053" type="#_x0000_t75" style="width:381.75pt;height:131.45pt" o:ole="">
            <v:imagedata r:id="rId74" o:title=""/>
          </v:shape>
          <o:OLEObject Type="Embed" ProgID="Equation.3" ShapeID="_x0000_i1053" DrawAspect="Content" ObjectID="_1685875223" r:id="rId75"/>
        </w:object>
      </w:r>
      <w:r>
        <w:rPr>
          <w:rFonts w:eastAsia="Batang"/>
          <w:szCs w:val="24"/>
        </w:rPr>
        <w:t>;</w:t>
      </w:r>
    </w:p>
    <w:p w14:paraId="7D06AFF1" w14:textId="77777777" w:rsidR="000C1E0E" w:rsidRDefault="000C1E0E" w:rsidP="000C1E0E">
      <w:pPr>
        <w:pStyle w:val="12"/>
        <w:tabs>
          <w:tab w:val="left" w:pos="993"/>
        </w:tabs>
        <w:spacing w:line="360" w:lineRule="auto"/>
        <w:ind w:left="0"/>
        <w:jc w:val="both"/>
        <w:rPr>
          <w:rFonts w:eastAsia="Batang"/>
          <w:szCs w:val="24"/>
        </w:rPr>
      </w:pPr>
      <w:r>
        <w:rPr>
          <w:rFonts w:eastAsia="Batang"/>
          <w:szCs w:val="24"/>
        </w:rPr>
        <w:object w:dxaOrig="1005" w:dyaOrig="360" w14:anchorId="31C38BB8">
          <v:shape id="_x0000_i1054" type="#_x0000_t75" style="width:50.25pt;height:18.4pt" o:ole="">
            <v:imagedata r:id="rId76" o:title=""/>
          </v:shape>
          <o:OLEObject Type="Embed" ProgID="Equation.3" ShapeID="_x0000_i1054" DrawAspect="Content" ObjectID="_1685875224" r:id="rId77"/>
        </w:object>
      </w:r>
      <w:r>
        <w:rPr>
          <w:rFonts w:eastAsia="Batang"/>
          <w:szCs w:val="24"/>
        </w:rPr>
        <w:t xml:space="preserve">- расчетная величина активов, включая дебиторскую задолженность на дату d. Дебиторскую задолженность на дату d необходимо учитывать до начисления вознаграждений и резерва на выплату вознаграждения за дату d. В случае оплаты в дату d Управляющей компанией из ПИФ вознаграждений, начисленных в дату d, необходимо при определении расчетной величины активов на дату d увеличить сумму активов на сумму уплаченных вознаграждений в дату d. </w:t>
      </w:r>
    </w:p>
    <w:p w14:paraId="0498BB52" w14:textId="77777777" w:rsidR="000C1E0E" w:rsidRDefault="000C1E0E" w:rsidP="000C1E0E">
      <w:pPr>
        <w:pStyle w:val="12"/>
        <w:tabs>
          <w:tab w:val="left" w:pos="993"/>
        </w:tabs>
        <w:spacing w:line="360" w:lineRule="auto"/>
        <w:ind w:left="0"/>
        <w:jc w:val="both"/>
        <w:rPr>
          <w:rFonts w:eastAsia="Batang"/>
          <w:szCs w:val="24"/>
        </w:rPr>
      </w:pPr>
      <w:r>
        <w:rPr>
          <w:rFonts w:eastAsia="Batang"/>
          <w:szCs w:val="24"/>
        </w:rPr>
        <w:object w:dxaOrig="495" w:dyaOrig="360" w14:anchorId="35D3DC19">
          <v:shape id="_x0000_i1055" type="#_x0000_t75" style="width:25.1pt;height:18.4pt" o:ole="">
            <v:imagedata r:id="rId78" o:title=""/>
          </v:shape>
          <o:OLEObject Type="Embed" ProgID="Equation.3" ShapeID="_x0000_i1055" DrawAspect="Content" ObjectID="_1685875225" r:id="rId79"/>
        </w:object>
      </w:r>
      <w:r>
        <w:rPr>
          <w:rFonts w:eastAsia="Batang"/>
          <w:szCs w:val="24"/>
        </w:rPr>
        <w:t xml:space="preserve"> - величина кредиторской задолженности без учета начисленных вознаграждений на дату d, включая остаток резерва на выплату вознаграждения на дату d-1, где d-1 –рабочий день, предшествующий дате d. </w:t>
      </w:r>
    </w:p>
    <w:p w14:paraId="7256FB8C" w14:textId="77777777" w:rsidR="000C1E0E" w:rsidRDefault="000C1E0E" w:rsidP="000C1E0E">
      <w:pPr>
        <w:pStyle w:val="12"/>
        <w:tabs>
          <w:tab w:val="left" w:pos="993"/>
        </w:tabs>
        <w:spacing w:line="360" w:lineRule="auto"/>
        <w:ind w:left="0"/>
        <w:jc w:val="both"/>
        <w:rPr>
          <w:rFonts w:eastAsia="Batang"/>
          <w:szCs w:val="24"/>
        </w:rPr>
      </w:pPr>
      <w:r>
        <w:rPr>
          <w:rFonts w:eastAsia="Batang"/>
          <w:szCs w:val="24"/>
        </w:rPr>
        <w:object w:dxaOrig="600" w:dyaOrig="645" w14:anchorId="1BAF8526">
          <v:shape id="_x0000_i1056" type="#_x0000_t75" style="width:30.15pt;height:32.65pt" o:ole="">
            <v:imagedata r:id="rId80" o:title=""/>
          </v:shape>
          <o:OLEObject Type="Embed" ProgID="Equation.3" ShapeID="_x0000_i1056" DrawAspect="Content" ObjectID="_1685875226" r:id="rId81"/>
        </w:object>
      </w:r>
      <w:r>
        <w:rPr>
          <w:rFonts w:eastAsia="Batang"/>
          <w:szCs w:val="24"/>
        </w:rPr>
        <w:t>- общая сумма резервов на выплату вознаграждения, начисленных с начала года до даты d.</w:t>
      </w:r>
    </w:p>
    <w:p w14:paraId="0DFD23FF" w14:textId="77777777" w:rsidR="000C1E0E" w:rsidRDefault="000C1E0E" w:rsidP="000C1E0E">
      <w:pPr>
        <w:pStyle w:val="12"/>
        <w:tabs>
          <w:tab w:val="left" w:pos="993"/>
        </w:tabs>
        <w:spacing w:line="360" w:lineRule="auto"/>
        <w:ind w:left="0"/>
        <w:jc w:val="both"/>
        <w:rPr>
          <w:rFonts w:eastAsia="Batang"/>
          <w:szCs w:val="24"/>
        </w:rPr>
      </w:pPr>
      <w:r>
        <w:rPr>
          <w:rFonts w:eastAsia="Batang"/>
          <w:szCs w:val="24"/>
        </w:rPr>
        <w:object w:dxaOrig="165" w:dyaOrig="165" w14:anchorId="3793C305">
          <v:shape id="_x0000_i1057" type="#_x0000_t75" style="width:8.35pt;height:8.35pt" o:ole="">
            <v:imagedata r:id="rId44" o:title=""/>
          </v:shape>
          <o:OLEObject Type="Embed" ProgID="Equation.3" ShapeID="_x0000_i1057" DrawAspect="Content" ObjectID="_1685875227" r:id="rId82"/>
        </w:object>
      </w:r>
      <w:r>
        <w:rPr>
          <w:rFonts w:eastAsia="Batang"/>
          <w:szCs w:val="24"/>
        </w:rPr>
        <w:t>- процентная ставка, соответствующая:</w:t>
      </w:r>
    </w:p>
    <w:p w14:paraId="435AA3F6" w14:textId="77777777" w:rsidR="000C1E0E" w:rsidRDefault="000C1E0E" w:rsidP="000C1E0E">
      <w:pPr>
        <w:pStyle w:val="12"/>
        <w:tabs>
          <w:tab w:val="left" w:pos="993"/>
        </w:tabs>
        <w:spacing w:line="360" w:lineRule="auto"/>
        <w:ind w:left="0"/>
        <w:jc w:val="both"/>
        <w:rPr>
          <w:rFonts w:eastAsia="Batang"/>
          <w:szCs w:val="24"/>
        </w:rPr>
      </w:pPr>
      <w:r>
        <w:rPr>
          <w:rFonts w:eastAsia="Batang"/>
          <w:szCs w:val="24"/>
        </w:rPr>
        <w:object w:dxaOrig="495" w:dyaOrig="435" w14:anchorId="3AAD63D8">
          <v:shape id="_x0000_i1058" type="#_x0000_t75" style="width:25.1pt;height:21.75pt" o:ole="">
            <v:imagedata r:id="rId46" o:title=""/>
          </v:shape>
          <o:OLEObject Type="Embed" ProgID="Equation.3" ShapeID="_x0000_i1058" DrawAspect="Content" ObjectID="_1685875228" r:id="rId83"/>
        </w:object>
      </w:r>
      <w:r>
        <w:rPr>
          <w:rFonts w:eastAsia="Batang"/>
          <w:szCs w:val="24"/>
        </w:rPr>
        <w:t xml:space="preserve"> - размер вознаграждения Управляющей компании относительно СГСЧА, установленный правилами ДУ ПИФ (в долях), действующий в течение периода </w:t>
      </w:r>
      <w:r>
        <w:rPr>
          <w:rFonts w:eastAsia="Batang"/>
          <w:szCs w:val="24"/>
        </w:rPr>
        <w:object w:dxaOrig="240" w:dyaOrig="360" w14:anchorId="28DC24D2">
          <v:shape id="_x0000_i1059" type="#_x0000_t75" style="width:11.7pt;height:18.4pt" o:ole="">
            <v:imagedata r:id="rId64" o:title=""/>
          </v:shape>
          <o:OLEObject Type="Embed" ProgID="Equation.3" ShapeID="_x0000_i1059" DrawAspect="Content" ObjectID="_1685875229" r:id="rId84"/>
        </w:object>
      </w:r>
      <w:r>
        <w:rPr>
          <w:rFonts w:eastAsia="Batang"/>
          <w:szCs w:val="24"/>
        </w:rPr>
        <w:t>;</w:t>
      </w:r>
    </w:p>
    <w:p w14:paraId="0750E24C" w14:textId="77777777" w:rsidR="000C1E0E" w:rsidRDefault="000C1E0E" w:rsidP="000C1E0E">
      <w:pPr>
        <w:pStyle w:val="12"/>
        <w:tabs>
          <w:tab w:val="left" w:pos="993"/>
        </w:tabs>
        <w:spacing w:line="360" w:lineRule="auto"/>
        <w:ind w:left="0"/>
        <w:jc w:val="both"/>
        <w:rPr>
          <w:rFonts w:eastAsia="Batang"/>
          <w:szCs w:val="24"/>
        </w:rPr>
      </w:pPr>
      <w:r>
        <w:rPr>
          <w:rFonts w:eastAsia="Batang"/>
          <w:szCs w:val="24"/>
        </w:rPr>
        <w:object w:dxaOrig="495" w:dyaOrig="465" w14:anchorId="207D4D7B">
          <v:shape id="_x0000_i1060" type="#_x0000_t75" style="width:25.1pt;height:23.45pt" o:ole="">
            <v:imagedata r:id="rId48" o:title=""/>
          </v:shape>
          <o:OLEObject Type="Embed" ProgID="Equation.3" ShapeID="_x0000_i1060" DrawAspect="Content" ObjectID="_1685875230" r:id="rId85"/>
        </w:object>
      </w:r>
      <w:r>
        <w:rPr>
          <w:rFonts w:eastAsia="Batang"/>
          <w:szCs w:val="24"/>
        </w:rPr>
        <w:t xml:space="preserve"> - совокупный размер вознаграждений специализированному депозитарию, аудиторской организации, и лицу, осуществляющему ведение реестра владельцев инвестиционных паев ПИФ, относительно СГСЧА, установленный правилами ДУ ПИФ (в долях), действующий в течение периода </w:t>
      </w:r>
      <w:r>
        <w:rPr>
          <w:rFonts w:eastAsia="Batang"/>
          <w:szCs w:val="24"/>
        </w:rPr>
        <w:object w:dxaOrig="240" w:dyaOrig="360" w14:anchorId="02121C36">
          <v:shape id="_x0000_i1061" type="#_x0000_t75" style="width:11.7pt;height:18.4pt" o:ole="">
            <v:imagedata r:id="rId64" o:title=""/>
          </v:shape>
          <o:OLEObject Type="Embed" ProgID="Equation.3" ShapeID="_x0000_i1061" DrawAspect="Content" ObjectID="_1685875231" r:id="rId86"/>
        </w:object>
      </w:r>
      <w:r>
        <w:rPr>
          <w:rFonts w:eastAsia="Batang"/>
          <w:szCs w:val="24"/>
        </w:rPr>
        <w:t>;</w:t>
      </w:r>
    </w:p>
    <w:p w14:paraId="45062D7D" w14:textId="77777777" w:rsidR="000C1E0E" w:rsidRDefault="000C1E0E" w:rsidP="000C1E0E">
      <w:pPr>
        <w:pStyle w:val="12"/>
        <w:tabs>
          <w:tab w:val="left" w:pos="993"/>
        </w:tabs>
        <w:spacing w:line="360" w:lineRule="auto"/>
        <w:ind w:left="0"/>
        <w:jc w:val="both"/>
        <w:rPr>
          <w:rFonts w:eastAsia="Batang"/>
          <w:szCs w:val="24"/>
        </w:rPr>
      </w:pPr>
      <w:r>
        <w:rPr>
          <w:rFonts w:eastAsia="Batang"/>
          <w:szCs w:val="24"/>
        </w:rPr>
        <w:t>N – количество ставок, действовавших в отчетному году;</w:t>
      </w:r>
    </w:p>
    <w:p w14:paraId="190BF0E0" w14:textId="77777777" w:rsidR="000C1E0E" w:rsidRDefault="000C1E0E" w:rsidP="000C1E0E">
      <w:pPr>
        <w:pStyle w:val="12"/>
        <w:tabs>
          <w:tab w:val="left" w:pos="993"/>
        </w:tabs>
        <w:spacing w:line="360" w:lineRule="auto"/>
        <w:ind w:left="0"/>
        <w:jc w:val="both"/>
        <w:rPr>
          <w:rFonts w:eastAsia="Batang"/>
          <w:szCs w:val="24"/>
        </w:rPr>
      </w:pPr>
      <w:r>
        <w:rPr>
          <w:rFonts w:eastAsia="Batang"/>
          <w:szCs w:val="24"/>
        </w:rPr>
        <w:object w:dxaOrig="240" w:dyaOrig="360" w14:anchorId="0BD103C2">
          <v:shape id="_x0000_i1062" type="#_x0000_t75" style="width:11.7pt;height:18.4pt" o:ole="">
            <v:imagedata r:id="rId50" o:title=""/>
          </v:shape>
          <o:OLEObject Type="Embed" ProgID="Equation.3" ShapeID="_x0000_i1062" DrawAspect="Content" ObjectID="_1685875232" r:id="rId87"/>
        </w:object>
      </w:r>
      <w:r>
        <w:rPr>
          <w:rFonts w:eastAsia="Batang"/>
          <w:szCs w:val="24"/>
        </w:rPr>
        <w:t xml:space="preserve">- каждая процентная ставка, действовавшая в течение периода </w:t>
      </w:r>
      <w:r>
        <w:rPr>
          <w:rFonts w:eastAsia="Batang"/>
          <w:szCs w:val="24"/>
        </w:rPr>
        <w:object w:dxaOrig="240" w:dyaOrig="360" w14:anchorId="6C89EF89">
          <v:shape id="_x0000_i1063" type="#_x0000_t75" style="width:11.7pt;height:18.4pt" o:ole="">
            <v:imagedata r:id="rId64" o:title=""/>
          </v:shape>
          <o:OLEObject Type="Embed" ProgID="Equation.3" ShapeID="_x0000_i1063" DrawAspect="Content" ObjectID="_1685875233" r:id="rId88"/>
        </w:object>
      </w:r>
      <w:r>
        <w:rPr>
          <w:rFonts w:eastAsia="Batang"/>
          <w:szCs w:val="24"/>
        </w:rPr>
        <w:t>;</w:t>
      </w:r>
    </w:p>
    <w:p w14:paraId="7A247A64" w14:textId="77777777" w:rsidR="000C1E0E" w:rsidRDefault="000C1E0E" w:rsidP="000C1E0E">
      <w:pPr>
        <w:pStyle w:val="12"/>
        <w:tabs>
          <w:tab w:val="left" w:pos="993"/>
        </w:tabs>
        <w:spacing w:line="360" w:lineRule="auto"/>
        <w:ind w:left="0"/>
        <w:jc w:val="both"/>
        <w:rPr>
          <w:rFonts w:eastAsia="Batang"/>
          <w:szCs w:val="24"/>
        </w:rPr>
      </w:pPr>
      <w:r>
        <w:rPr>
          <w:rFonts w:eastAsia="Batang"/>
          <w:szCs w:val="24"/>
        </w:rPr>
        <w:object w:dxaOrig="315" w:dyaOrig="360" w14:anchorId="02B7453D">
          <v:shape id="_x0000_i1064" type="#_x0000_t75" style="width:15.9pt;height:18.4pt" o:ole="">
            <v:imagedata r:id="rId89" o:title=""/>
          </v:shape>
          <o:OLEObject Type="Embed" ProgID="Equation.3" ShapeID="_x0000_i1064" DrawAspect="Content" ObjectID="_1685875234" r:id="rId90"/>
        </w:object>
      </w:r>
      <w:r>
        <w:rPr>
          <w:rFonts w:eastAsia="Batang"/>
          <w:szCs w:val="24"/>
        </w:rPr>
        <w:t xml:space="preserve">- количество рабочих дней периода, в котором действовала ставка </w:t>
      </w:r>
      <w:r>
        <w:rPr>
          <w:rFonts w:eastAsia="Batang"/>
          <w:szCs w:val="24"/>
        </w:rPr>
        <w:object w:dxaOrig="240" w:dyaOrig="360" w14:anchorId="4BE7DDB2">
          <v:shape id="_x0000_i1065" type="#_x0000_t75" style="width:11.7pt;height:18.4pt" o:ole="">
            <v:imagedata r:id="rId50" o:title=""/>
          </v:shape>
          <o:OLEObject Type="Embed" ProgID="Equation.3" ShapeID="_x0000_i1065" DrawAspect="Content" ObjectID="_1685875235" r:id="rId91"/>
        </w:object>
      </w:r>
      <w:r>
        <w:rPr>
          <w:rFonts w:eastAsia="Batang"/>
          <w:szCs w:val="24"/>
        </w:rPr>
        <w:t xml:space="preserve">, принадлежащее периоду </w:t>
      </w:r>
      <w:r>
        <w:rPr>
          <w:rFonts w:eastAsia="Batang"/>
          <w:szCs w:val="24"/>
        </w:rPr>
        <w:object w:dxaOrig="240" w:dyaOrig="360" w14:anchorId="1930D9C6">
          <v:shape id="_x0000_i1066" type="#_x0000_t75" style="width:11.7pt;height:18.4pt" o:ole="">
            <v:imagedata r:id="rId64" o:title=""/>
          </v:shape>
          <o:OLEObject Type="Embed" ProgID="Equation.3" ShapeID="_x0000_i1066" DrawAspect="Content" ObjectID="_1685875236" r:id="rId92"/>
        </w:object>
      </w:r>
      <w:r>
        <w:rPr>
          <w:rFonts w:eastAsia="Batang"/>
          <w:szCs w:val="24"/>
        </w:rPr>
        <w:t xml:space="preserve">, где </w:t>
      </w:r>
      <w:r>
        <w:rPr>
          <w:rFonts w:eastAsia="Batang"/>
          <w:szCs w:val="24"/>
        </w:rPr>
        <w:object w:dxaOrig="1005" w:dyaOrig="645" w14:anchorId="021F3ED3">
          <v:shape id="_x0000_i1067" type="#_x0000_t75" style="width:50.25pt;height:32.65pt" o:ole="">
            <v:imagedata r:id="rId93" o:title=""/>
          </v:shape>
          <o:OLEObject Type="Embed" ProgID="Equation.3" ShapeID="_x0000_i1067" DrawAspect="Content" ObjectID="_1685875237" r:id="rId94"/>
        </w:object>
      </w:r>
      <w:r>
        <w:rPr>
          <w:rFonts w:eastAsia="Batang"/>
          <w:szCs w:val="24"/>
        </w:rPr>
        <w:t>.</w:t>
      </w:r>
    </w:p>
    <w:p w14:paraId="6478574C" w14:textId="77777777" w:rsidR="000C1E0E" w:rsidRDefault="000C1E0E" w:rsidP="000C1E0E">
      <w:pPr>
        <w:pStyle w:val="12"/>
        <w:tabs>
          <w:tab w:val="left" w:pos="993"/>
        </w:tabs>
        <w:spacing w:line="360" w:lineRule="auto"/>
        <w:ind w:left="0"/>
        <w:jc w:val="both"/>
        <w:rPr>
          <w:rFonts w:eastAsia="Batang"/>
          <w:szCs w:val="24"/>
        </w:rPr>
      </w:pPr>
      <w:r>
        <w:rPr>
          <w:rFonts w:eastAsia="Batang"/>
          <w:szCs w:val="24"/>
        </w:rPr>
        <w:t xml:space="preserve">Значения </w:t>
      </w:r>
      <w:r>
        <w:rPr>
          <w:rFonts w:eastAsia="Batang"/>
          <w:szCs w:val="24"/>
        </w:rPr>
        <w:fldChar w:fldCharType="begin"/>
      </w:r>
      <w:r>
        <w:rPr>
          <w:rFonts w:eastAsia="Batang"/>
          <w:szCs w:val="24"/>
        </w:rPr>
        <w:instrText xml:space="preserve"> QUOTE </w:instrText>
      </w:r>
      <w:r>
        <w:rPr>
          <w:rFonts w:eastAsia="Batang"/>
          <w:noProof/>
          <w:position w:val="-17"/>
          <w:szCs w:val="24"/>
        </w:rPr>
        <w:drawing>
          <wp:inline distT="0" distB="0" distL="0" distR="0" wp14:anchorId="54739141" wp14:editId="709849D8">
            <wp:extent cx="609600" cy="314325"/>
            <wp:effectExtent l="0" t="0" r="0" b="9525"/>
            <wp:docPr id="5"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51"/>
                    <pic:cNvPicPr>
                      <a:picLocks noChangeAspect="1" noChangeArrowheads="1"/>
                    </pic:cNvPicPr>
                  </pic:nvPicPr>
                  <pic:blipFill>
                    <a:blip r:embed="rId95">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609600" cy="314325"/>
                    </a:xfrm>
                    <a:prstGeom prst="rect">
                      <a:avLst/>
                    </a:prstGeom>
                    <a:noFill/>
                    <a:ln>
                      <a:noFill/>
                    </a:ln>
                  </pic:spPr>
                </pic:pic>
              </a:graphicData>
            </a:graphic>
          </wp:inline>
        </w:drawing>
      </w:r>
      <w:r>
        <w:rPr>
          <w:rFonts w:eastAsia="Batang"/>
          <w:szCs w:val="24"/>
        </w:rPr>
        <w:instrText xml:space="preserve"> </w:instrText>
      </w:r>
      <w:r>
        <w:rPr>
          <w:rFonts w:eastAsia="Batang"/>
          <w:szCs w:val="24"/>
        </w:rPr>
        <w:fldChar w:fldCharType="separate"/>
      </w:r>
      <w:r>
        <w:rPr>
          <w:rFonts w:eastAsia="Batang"/>
          <w:noProof/>
          <w:position w:val="-17"/>
          <w:szCs w:val="24"/>
        </w:rPr>
        <w:drawing>
          <wp:inline distT="0" distB="0" distL="0" distR="0" wp14:anchorId="1D55DE81" wp14:editId="0245B815">
            <wp:extent cx="609600" cy="314325"/>
            <wp:effectExtent l="0" t="0" r="0" b="9525"/>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52"/>
                    <pic:cNvPicPr>
                      <a:picLocks noChangeAspect="1" noChangeArrowheads="1"/>
                    </pic:cNvPicPr>
                  </pic:nvPicPr>
                  <pic:blipFill>
                    <a:blip r:embed="rId95">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609600" cy="314325"/>
                    </a:xfrm>
                    <a:prstGeom prst="rect">
                      <a:avLst/>
                    </a:prstGeom>
                    <a:noFill/>
                    <a:ln>
                      <a:noFill/>
                    </a:ln>
                  </pic:spPr>
                </pic:pic>
              </a:graphicData>
            </a:graphic>
          </wp:inline>
        </w:drawing>
      </w:r>
      <w:r>
        <w:rPr>
          <w:rFonts w:eastAsia="Batang"/>
          <w:szCs w:val="24"/>
        </w:rPr>
        <w:fldChar w:fldCharType="end"/>
      </w:r>
      <w:r>
        <w:rPr>
          <w:rFonts w:eastAsia="Batang"/>
          <w:szCs w:val="24"/>
        </w:rPr>
        <w:t xml:space="preserve">; </w:t>
      </w:r>
      <w:r>
        <w:rPr>
          <w:rFonts w:eastAsia="Batang"/>
          <w:szCs w:val="24"/>
        </w:rPr>
        <w:fldChar w:fldCharType="begin"/>
      </w:r>
      <w:r>
        <w:rPr>
          <w:rFonts w:eastAsia="Batang"/>
          <w:szCs w:val="24"/>
        </w:rPr>
        <w:instrText xml:space="preserve"> QUOTE </w:instrText>
      </w:r>
      <w:r>
        <w:rPr>
          <w:rFonts w:eastAsia="Batang"/>
          <w:noProof/>
          <w:position w:val="-110"/>
          <w:szCs w:val="24"/>
        </w:rPr>
        <w:drawing>
          <wp:inline distT="0" distB="0" distL="0" distR="0" wp14:anchorId="47B3C077" wp14:editId="55EB6FF8">
            <wp:extent cx="4114800" cy="1543050"/>
            <wp:effectExtent l="0" t="0" r="0" b="0"/>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53"/>
                    <pic:cNvPicPr>
                      <a:picLocks noChangeAspect="1" noChangeArrowheads="1"/>
                    </pic:cNvPicPr>
                  </pic:nvPicPr>
                  <pic:blipFill>
                    <a:blip r:embed="rId96">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4114800" cy="1543050"/>
                    </a:xfrm>
                    <a:prstGeom prst="rect">
                      <a:avLst/>
                    </a:prstGeom>
                    <a:noFill/>
                    <a:ln>
                      <a:noFill/>
                    </a:ln>
                  </pic:spPr>
                </pic:pic>
              </a:graphicData>
            </a:graphic>
          </wp:inline>
        </w:drawing>
      </w:r>
      <w:r>
        <w:rPr>
          <w:rFonts w:eastAsia="Batang"/>
          <w:szCs w:val="24"/>
        </w:rPr>
        <w:instrText xml:space="preserve"> </w:instrText>
      </w:r>
      <w:r>
        <w:rPr>
          <w:rFonts w:eastAsia="Batang"/>
          <w:szCs w:val="24"/>
        </w:rPr>
        <w:fldChar w:fldCharType="separate"/>
      </w:r>
      <w:r>
        <w:rPr>
          <w:rFonts w:eastAsia="Batang"/>
          <w:noProof/>
          <w:position w:val="-110"/>
          <w:szCs w:val="24"/>
        </w:rPr>
        <w:drawing>
          <wp:inline distT="0" distB="0" distL="0" distR="0" wp14:anchorId="44336CA9" wp14:editId="03DC7AFF">
            <wp:extent cx="4114800" cy="1543050"/>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54"/>
                    <pic:cNvPicPr>
                      <a:picLocks noChangeAspect="1" noChangeArrowheads="1"/>
                    </pic:cNvPicPr>
                  </pic:nvPicPr>
                  <pic:blipFill>
                    <a:blip r:embed="rId96">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4114800" cy="1543050"/>
                    </a:xfrm>
                    <a:prstGeom prst="rect">
                      <a:avLst/>
                    </a:prstGeom>
                    <a:noFill/>
                    <a:ln>
                      <a:noFill/>
                    </a:ln>
                  </pic:spPr>
                </pic:pic>
              </a:graphicData>
            </a:graphic>
          </wp:inline>
        </w:drawing>
      </w:r>
      <w:r>
        <w:rPr>
          <w:rFonts w:eastAsia="Batang"/>
          <w:szCs w:val="24"/>
        </w:rPr>
        <w:fldChar w:fldCharType="end"/>
      </w:r>
      <w:r>
        <w:rPr>
          <w:rFonts w:eastAsia="Batang"/>
          <w:szCs w:val="24"/>
        </w:rPr>
        <w:t xml:space="preserve">               не округляются.</w:t>
      </w:r>
    </w:p>
    <w:p w14:paraId="77B9D9F2" w14:textId="77777777" w:rsidR="000C1E0E" w:rsidRDefault="000C1E0E" w:rsidP="000C1E0E">
      <w:pPr>
        <w:pStyle w:val="12"/>
        <w:tabs>
          <w:tab w:val="left" w:pos="993"/>
        </w:tabs>
        <w:spacing w:line="360" w:lineRule="auto"/>
        <w:ind w:left="0"/>
        <w:jc w:val="both"/>
        <w:rPr>
          <w:rFonts w:eastAsia="Batang"/>
          <w:szCs w:val="24"/>
        </w:rPr>
      </w:pPr>
      <w:r>
        <w:rPr>
          <w:rFonts w:eastAsia="Batang"/>
          <w:szCs w:val="24"/>
        </w:rPr>
        <w:t xml:space="preserve">Округление при расчете </w:t>
      </w:r>
      <w:r>
        <w:rPr>
          <w:rFonts w:eastAsia="Batang"/>
          <w:szCs w:val="24"/>
        </w:rPr>
        <w:object w:dxaOrig="240" w:dyaOrig="360" w14:anchorId="03B9D97B">
          <v:shape id="_x0000_i1068" type="#_x0000_t75" style="width:11.7pt;height:18.4pt" o:ole="">
            <v:imagedata r:id="rId61" o:title=""/>
          </v:shape>
          <o:OLEObject Type="Embed" ProgID="Equation.3" ShapeID="_x0000_i1068" DrawAspect="Content" ObjectID="_1685875238" r:id="rId97"/>
        </w:object>
      </w:r>
      <w:r>
        <w:rPr>
          <w:rFonts w:eastAsia="Batang"/>
          <w:szCs w:val="24"/>
        </w:rPr>
        <w:t xml:space="preserve"> и </w:t>
      </w:r>
      <w:r>
        <w:rPr>
          <w:rFonts w:eastAsia="Batang"/>
          <w:szCs w:val="24"/>
        </w:rPr>
        <w:object w:dxaOrig="855" w:dyaOrig="345" w14:anchorId="0BD8F957">
          <v:shape id="_x0000_i1069" type="#_x0000_t75" style="width:42.7pt;height:17.6pt" o:ole="">
            <v:imagedata r:id="rId71" o:title=""/>
          </v:shape>
          <o:OLEObject Type="Embed" ProgID="Equation.3" ShapeID="_x0000_i1069" DrawAspect="Content" ObjectID="_1685875239" r:id="rId98"/>
        </w:object>
      </w:r>
      <w:r>
        <w:rPr>
          <w:rFonts w:eastAsia="Batang"/>
          <w:szCs w:val="24"/>
        </w:rPr>
        <w:t>производится на каждом действии до 2-х знаков после запятой.</w:t>
      </w:r>
    </w:p>
    <w:p w14:paraId="2FEB02DD" w14:textId="77777777" w:rsidR="000C1E0E" w:rsidRDefault="000C1E0E" w:rsidP="000C1E0E">
      <w:pPr>
        <w:widowControl w:val="0"/>
        <w:numPr>
          <w:ilvl w:val="2"/>
          <w:numId w:val="4"/>
        </w:numPr>
        <w:spacing w:before="60" w:after="60" w:line="240" w:lineRule="auto"/>
        <w:outlineLvl w:val="1"/>
        <w:rPr>
          <w:rFonts w:ascii="Times New Roman" w:hAnsi="Times New Roman"/>
          <w:sz w:val="24"/>
          <w:szCs w:val="24"/>
        </w:rPr>
      </w:pPr>
      <w:r>
        <w:rPr>
          <w:rFonts w:ascii="Times New Roman" w:hAnsi="Times New Roman"/>
          <w:sz w:val="24"/>
          <w:szCs w:val="24"/>
        </w:rPr>
        <w:t xml:space="preserve">Размер сформированного резерва на выплату вознаграждения уменьшается на суммы начисленного в течение отчетного года вознаграждения Управляющей компании, специализированному депозитарию, аудиторской организации, и лицу, осуществляющему ведение реестра владельцев инвестиционных паев ПИФ. Не использованный в течение отчетного года резерв на выплату вознаграждения подлежит восстановлению по окончанию отчетного года, но не позднее первого рабочего дня года, следующего за отчетным, и признается в составе прочих доходов. Указанное восстановление отражается при первом определении СЧА в году следующем за отчетным. </w:t>
      </w:r>
    </w:p>
    <w:p w14:paraId="65D9ABFA" w14:textId="77777777" w:rsidR="000C1E0E" w:rsidRDefault="000C1E0E" w:rsidP="000C1E0E">
      <w:pPr>
        <w:widowControl w:val="0"/>
        <w:numPr>
          <w:ilvl w:val="0"/>
          <w:numId w:val="11"/>
        </w:numPr>
        <w:spacing w:before="240" w:after="60" w:line="240" w:lineRule="auto"/>
        <w:outlineLvl w:val="0"/>
        <w:rPr>
          <w:rFonts w:ascii="Times New Roman" w:hAnsi="Times New Roman"/>
          <w:b/>
          <w:bCs/>
          <w:kern w:val="32"/>
          <w:sz w:val="24"/>
          <w:szCs w:val="24"/>
        </w:rPr>
      </w:pPr>
      <w:r>
        <w:rPr>
          <w:rFonts w:ascii="Times New Roman" w:hAnsi="Times New Roman"/>
          <w:b/>
          <w:bCs/>
          <w:kern w:val="32"/>
          <w:sz w:val="24"/>
          <w:szCs w:val="24"/>
        </w:rPr>
        <w:t>ПОРЯДОК УРЕГУЛИРОВАНИЯ РАЗНОГЛАСИЙ МЕЖДУ УПРАВЛЯЮЩЕЙ КОМПАНИЕЙ И СПЕЦИАЛИЗИРОВАННЫМ ДЕПОЗИТАРИЕМ ПРИ ОПРЕДЕЛЕНИИ СТОИМОСТИ ЧИСТЫХ АКТИВОВ</w:t>
      </w:r>
    </w:p>
    <w:p w14:paraId="6AA791E6" w14:textId="77777777" w:rsidR="000C1E0E" w:rsidRDefault="000C1E0E" w:rsidP="000C1E0E">
      <w:pPr>
        <w:numPr>
          <w:ilvl w:val="1"/>
          <w:numId w:val="11"/>
        </w:numPr>
        <w:tabs>
          <w:tab w:val="num" w:pos="0"/>
        </w:tabs>
        <w:spacing w:line="240" w:lineRule="auto"/>
        <w:rPr>
          <w:rFonts w:ascii="Times New Roman" w:hAnsi="Times New Roman"/>
          <w:sz w:val="24"/>
          <w:szCs w:val="24"/>
          <w:lang w:eastAsia="en-US"/>
        </w:rPr>
      </w:pPr>
      <w:r>
        <w:rPr>
          <w:rFonts w:ascii="Times New Roman" w:hAnsi="Times New Roman"/>
          <w:sz w:val="24"/>
          <w:szCs w:val="24"/>
        </w:rPr>
        <w:t>В случае выявления ошибки в расчёте стоимости чистых активов и стоимости одного инвестиционного пая Специализированный депозитарий и Управляющая компания не позднее 5 (пяти) рабочих дней с даты выявления ошибки оформляют Акт выявления ошибки в расчёте стоимости чистых активов и проводят соответствующую процедуру корректировки ошибки.</w:t>
      </w:r>
    </w:p>
    <w:p w14:paraId="39951CF7" w14:textId="77777777" w:rsidR="000C1E0E" w:rsidRDefault="000C1E0E" w:rsidP="000C1E0E">
      <w:pPr>
        <w:numPr>
          <w:ilvl w:val="1"/>
          <w:numId w:val="11"/>
        </w:numPr>
        <w:tabs>
          <w:tab w:val="num" w:pos="0"/>
        </w:tabs>
        <w:spacing w:line="240" w:lineRule="auto"/>
        <w:rPr>
          <w:rFonts w:ascii="Times New Roman" w:hAnsi="Times New Roman"/>
          <w:sz w:val="24"/>
          <w:szCs w:val="24"/>
          <w:lang w:eastAsia="en-US"/>
        </w:rPr>
      </w:pPr>
      <w:r>
        <w:rPr>
          <w:rFonts w:ascii="Times New Roman" w:hAnsi="Times New Roman"/>
          <w:sz w:val="24"/>
          <w:szCs w:val="24"/>
        </w:rPr>
        <w:t>В случае если на дату, по состоянию на которую выявлена ошибка, отклонение стоимости актива (обязательства), использованной в расчёте, составляет менее, чем 0,1% корректной стоимости чистых активов, и отклонение стоимости чистых активов на этот момент расчета составляет менее 0,1% корректной стоимости чистых активов  (далее – «отклонения»), производится проверка, не привела ли выявленная ошибка к отклонениям, составляющим 0,1% и более от корректной стоимости чистых активов, в последующих датах.</w:t>
      </w:r>
    </w:p>
    <w:p w14:paraId="2885059A" w14:textId="77777777" w:rsidR="000C1E0E" w:rsidRDefault="000C1E0E" w:rsidP="000C1E0E">
      <w:pPr>
        <w:numPr>
          <w:ilvl w:val="1"/>
          <w:numId w:val="11"/>
        </w:numPr>
        <w:tabs>
          <w:tab w:val="num" w:pos="0"/>
        </w:tabs>
        <w:spacing w:line="240" w:lineRule="auto"/>
        <w:rPr>
          <w:rFonts w:ascii="Times New Roman" w:hAnsi="Times New Roman"/>
          <w:sz w:val="24"/>
          <w:szCs w:val="24"/>
          <w:lang w:eastAsia="en-US"/>
        </w:rPr>
      </w:pPr>
      <w:r>
        <w:rPr>
          <w:rFonts w:ascii="Times New Roman" w:hAnsi="Times New Roman"/>
          <w:sz w:val="24"/>
          <w:szCs w:val="24"/>
        </w:rPr>
        <w:t xml:space="preserve">Если рассчитанные отклонения в каждую из дат составили менее 0,1%, пересчёт стоимости чистых активов и стоимости одного инвестиционного пая Фонда не производится. </w:t>
      </w:r>
    </w:p>
    <w:p w14:paraId="12349E91" w14:textId="77777777" w:rsidR="000C1E0E" w:rsidRDefault="000C1E0E" w:rsidP="000C1E0E">
      <w:pPr>
        <w:numPr>
          <w:ilvl w:val="1"/>
          <w:numId w:val="11"/>
        </w:numPr>
        <w:tabs>
          <w:tab w:val="num" w:pos="0"/>
        </w:tabs>
        <w:spacing w:line="240" w:lineRule="auto"/>
        <w:rPr>
          <w:rFonts w:ascii="Times New Roman" w:hAnsi="Times New Roman"/>
          <w:sz w:val="24"/>
          <w:szCs w:val="24"/>
          <w:lang w:eastAsia="en-US"/>
        </w:rPr>
      </w:pPr>
      <w:r>
        <w:rPr>
          <w:rFonts w:ascii="Times New Roman" w:hAnsi="Times New Roman"/>
          <w:sz w:val="24"/>
          <w:szCs w:val="24"/>
        </w:rPr>
        <w:t>Управляющая компания и Специализированный депозитарий принимают все необходимые меры для предотвращения повторения ошибки в будущем.</w:t>
      </w:r>
    </w:p>
    <w:p w14:paraId="07B3EE4E" w14:textId="77777777" w:rsidR="000C1E0E" w:rsidRDefault="000C1E0E" w:rsidP="000C1E0E">
      <w:pPr>
        <w:numPr>
          <w:ilvl w:val="1"/>
          <w:numId w:val="11"/>
        </w:numPr>
        <w:tabs>
          <w:tab w:val="num" w:pos="0"/>
        </w:tabs>
        <w:spacing w:line="240" w:lineRule="auto"/>
        <w:rPr>
          <w:rFonts w:ascii="Times New Roman" w:hAnsi="Times New Roman"/>
          <w:sz w:val="24"/>
          <w:szCs w:val="24"/>
          <w:lang w:eastAsia="en-US"/>
        </w:rPr>
      </w:pPr>
      <w:r>
        <w:rPr>
          <w:rFonts w:ascii="Times New Roman" w:hAnsi="Times New Roman"/>
          <w:sz w:val="24"/>
          <w:szCs w:val="24"/>
        </w:rPr>
        <w:t>В случае, когда в какую-либо из дат оба отклонения или одно из них составляет 0,1% и более корректной стоимости чистых активов, Управляющая компания и Специализированный депозитарий осуществляют пересчёт стоимости чистых активов и стоимости одного инвестиционного пая Фонда за весь период, начиная с даты допущения ошибки.</w:t>
      </w:r>
    </w:p>
    <w:p w14:paraId="1CC9E0B5" w14:textId="77777777" w:rsidR="000C1E0E" w:rsidRDefault="000C1E0E" w:rsidP="000C1E0E">
      <w:pPr>
        <w:numPr>
          <w:ilvl w:val="1"/>
          <w:numId w:val="11"/>
        </w:numPr>
        <w:tabs>
          <w:tab w:val="num" w:pos="0"/>
        </w:tabs>
        <w:spacing w:line="240" w:lineRule="auto"/>
        <w:rPr>
          <w:rFonts w:ascii="Times New Roman" w:hAnsi="Times New Roman"/>
          <w:sz w:val="24"/>
          <w:szCs w:val="24"/>
          <w:lang w:eastAsia="en-US"/>
        </w:rPr>
      </w:pPr>
      <w:r>
        <w:rPr>
          <w:rFonts w:ascii="Times New Roman" w:hAnsi="Times New Roman"/>
          <w:sz w:val="24"/>
          <w:szCs w:val="24"/>
        </w:rPr>
        <w:t>В случае если с момента допущения ошибки, приведшей к пересчёту стоимости чистых активов и стоимости одного инвестиционного пая Фонда, осуществлялись операции по выдаче или погашению инвестиционных паев, то Управляющая компания осуществляет расчёты с владельцами инвестиционных паев Фонда по возмещению ущерба в соответствии с требованиями законодательства Российской Федерации.</w:t>
      </w:r>
    </w:p>
    <w:p w14:paraId="07BE4657" w14:textId="77777777" w:rsidR="000C1E0E" w:rsidRDefault="000C1E0E" w:rsidP="000C1E0E">
      <w:pPr>
        <w:numPr>
          <w:ilvl w:val="1"/>
          <w:numId w:val="11"/>
        </w:numPr>
        <w:tabs>
          <w:tab w:val="num" w:pos="0"/>
        </w:tabs>
        <w:spacing w:line="240" w:lineRule="auto"/>
        <w:rPr>
          <w:rFonts w:ascii="Times New Roman" w:hAnsi="Times New Roman"/>
          <w:sz w:val="24"/>
          <w:szCs w:val="24"/>
          <w:lang w:eastAsia="en-US"/>
        </w:rPr>
      </w:pPr>
      <w:r>
        <w:rPr>
          <w:rFonts w:ascii="Times New Roman" w:hAnsi="Times New Roman"/>
          <w:sz w:val="24"/>
          <w:szCs w:val="24"/>
        </w:rPr>
        <w:t>При необходимости Управляющая компания и Специализированный депозитарий вносят исправления в регистры учета.</w:t>
      </w:r>
    </w:p>
    <w:p w14:paraId="299D2F21" w14:textId="77777777" w:rsidR="000C1E0E" w:rsidRDefault="000C1E0E" w:rsidP="000C1E0E">
      <w:pPr>
        <w:tabs>
          <w:tab w:val="num" w:pos="0"/>
        </w:tabs>
        <w:spacing w:line="240" w:lineRule="auto"/>
        <w:ind w:left="720"/>
        <w:rPr>
          <w:rFonts w:ascii="Times New Roman" w:hAnsi="Times New Roman"/>
          <w:sz w:val="24"/>
          <w:szCs w:val="24"/>
          <w:lang w:eastAsia="en-US"/>
        </w:rPr>
      </w:pPr>
    </w:p>
    <w:p w14:paraId="0E25CF52" w14:textId="77777777" w:rsidR="000C1E0E" w:rsidRDefault="000C1E0E" w:rsidP="000C1E0E">
      <w:pPr>
        <w:tabs>
          <w:tab w:val="num" w:pos="0"/>
        </w:tabs>
        <w:spacing w:line="240" w:lineRule="auto"/>
        <w:ind w:left="720"/>
        <w:rPr>
          <w:rFonts w:ascii="Times New Roman" w:hAnsi="Times New Roman"/>
          <w:sz w:val="24"/>
          <w:szCs w:val="24"/>
          <w:lang w:eastAsia="en-US"/>
        </w:rPr>
      </w:pPr>
    </w:p>
    <w:p w14:paraId="5B8F3775" w14:textId="77777777" w:rsidR="000C1E0E" w:rsidRDefault="000C1E0E" w:rsidP="000C1E0E">
      <w:pPr>
        <w:tabs>
          <w:tab w:val="num" w:pos="0"/>
        </w:tabs>
        <w:spacing w:line="240" w:lineRule="auto"/>
        <w:ind w:left="720"/>
        <w:rPr>
          <w:rFonts w:ascii="Times New Roman" w:hAnsi="Times New Roman"/>
          <w:sz w:val="24"/>
          <w:szCs w:val="24"/>
          <w:lang w:eastAsia="en-US"/>
        </w:rPr>
      </w:pPr>
    </w:p>
    <w:p w14:paraId="204F65F6" w14:textId="77777777" w:rsidR="000C1E0E" w:rsidRDefault="000C1E0E" w:rsidP="000C1E0E">
      <w:pPr>
        <w:tabs>
          <w:tab w:val="num" w:pos="0"/>
        </w:tabs>
        <w:spacing w:line="240" w:lineRule="auto"/>
        <w:ind w:left="720"/>
        <w:rPr>
          <w:rFonts w:ascii="Times New Roman" w:hAnsi="Times New Roman"/>
          <w:sz w:val="24"/>
          <w:szCs w:val="24"/>
          <w:lang w:eastAsia="en-US"/>
        </w:rPr>
      </w:pPr>
    </w:p>
    <w:p w14:paraId="21075BC5" w14:textId="77777777" w:rsidR="000C1E0E" w:rsidRDefault="000C1E0E" w:rsidP="000C1E0E">
      <w:pPr>
        <w:tabs>
          <w:tab w:val="num" w:pos="0"/>
        </w:tabs>
        <w:spacing w:line="240" w:lineRule="auto"/>
        <w:ind w:left="720"/>
        <w:rPr>
          <w:rFonts w:ascii="Times New Roman" w:hAnsi="Times New Roman"/>
          <w:sz w:val="24"/>
          <w:szCs w:val="24"/>
          <w:lang w:eastAsia="en-US"/>
        </w:rPr>
      </w:pPr>
    </w:p>
    <w:p w14:paraId="32586065" w14:textId="77777777" w:rsidR="000C1E0E" w:rsidRDefault="000C1E0E" w:rsidP="000C1E0E">
      <w:pPr>
        <w:tabs>
          <w:tab w:val="num" w:pos="0"/>
        </w:tabs>
        <w:spacing w:line="240" w:lineRule="auto"/>
        <w:ind w:left="720"/>
        <w:rPr>
          <w:rFonts w:ascii="Times New Roman" w:hAnsi="Times New Roman"/>
          <w:sz w:val="24"/>
          <w:szCs w:val="24"/>
          <w:lang w:eastAsia="en-US"/>
        </w:rPr>
      </w:pPr>
    </w:p>
    <w:p w14:paraId="0376D5A4" w14:textId="77777777" w:rsidR="000C1E0E" w:rsidRDefault="000C1E0E" w:rsidP="000C1E0E">
      <w:pPr>
        <w:tabs>
          <w:tab w:val="num" w:pos="0"/>
        </w:tabs>
        <w:spacing w:line="240" w:lineRule="auto"/>
        <w:ind w:left="720"/>
        <w:rPr>
          <w:rFonts w:ascii="Times New Roman" w:hAnsi="Times New Roman"/>
          <w:sz w:val="24"/>
          <w:szCs w:val="24"/>
          <w:lang w:eastAsia="en-US"/>
        </w:rPr>
      </w:pPr>
    </w:p>
    <w:p w14:paraId="00EEAAFB" w14:textId="77777777" w:rsidR="000C1E0E" w:rsidRDefault="000C1E0E" w:rsidP="000C1E0E">
      <w:pPr>
        <w:spacing w:line="240" w:lineRule="auto"/>
        <w:jc w:val="left"/>
        <w:rPr>
          <w:rFonts w:ascii="Times New Roman" w:eastAsia="Calibri" w:hAnsi="Times New Roman"/>
          <w:sz w:val="24"/>
          <w:szCs w:val="24"/>
          <w:lang w:eastAsia="en-US"/>
        </w:rPr>
      </w:pPr>
      <w:r>
        <w:rPr>
          <w:rFonts w:ascii="Times New Roman" w:eastAsia="Calibri" w:hAnsi="Times New Roman"/>
          <w:sz w:val="24"/>
          <w:szCs w:val="24"/>
        </w:rPr>
        <w:br w:type="page"/>
      </w:r>
      <w:r>
        <w:rPr>
          <w:rFonts w:ascii="Times New Roman" w:eastAsia="Calibri" w:hAnsi="Times New Roman"/>
          <w:sz w:val="24"/>
          <w:szCs w:val="24"/>
          <w:lang w:eastAsia="en-US"/>
        </w:rPr>
        <w:t xml:space="preserve">Приложение №1  </w:t>
      </w:r>
    </w:p>
    <w:p w14:paraId="5F220DB6" w14:textId="77777777" w:rsidR="000C1E0E" w:rsidRDefault="000C1E0E" w:rsidP="000C1E0E">
      <w:pPr>
        <w:tabs>
          <w:tab w:val="left" w:pos="3069"/>
        </w:tabs>
        <w:spacing w:after="200" w:line="276" w:lineRule="auto"/>
        <w:jc w:val="right"/>
        <w:rPr>
          <w:rFonts w:ascii="Times New Roman" w:eastAsia="Calibri" w:hAnsi="Times New Roman" w:cstheme="minorBidi"/>
          <w:sz w:val="24"/>
          <w:szCs w:val="24"/>
          <w:lang w:eastAsia="en-US"/>
        </w:rPr>
      </w:pPr>
      <w:r>
        <w:rPr>
          <w:rFonts w:ascii="Times New Roman" w:eastAsia="Calibri" w:hAnsi="Times New Roman" w:cstheme="minorBidi"/>
          <w:sz w:val="24"/>
          <w:szCs w:val="24"/>
          <w:lang w:eastAsia="en-US"/>
        </w:rPr>
        <w:t>к Правилам</w:t>
      </w:r>
      <w:r>
        <w:rPr>
          <w:rFonts w:ascii="Times New Roman" w:eastAsiaTheme="minorHAnsi" w:hAnsi="Times New Roman" w:cstheme="minorBidi"/>
          <w:sz w:val="24"/>
          <w:szCs w:val="24"/>
          <w:lang w:eastAsia="en-US"/>
        </w:rPr>
        <w:t xml:space="preserve"> определения СЧА</w:t>
      </w:r>
    </w:p>
    <w:p w14:paraId="3874F79B" w14:textId="77777777" w:rsidR="000C1E0E" w:rsidRDefault="000C1E0E" w:rsidP="000C1E0E">
      <w:pPr>
        <w:spacing w:before="120" w:after="200" w:line="360" w:lineRule="auto"/>
        <w:jc w:val="right"/>
        <w:rPr>
          <w:rFonts w:ascii="Times New Roman" w:eastAsia="Batang" w:hAnsi="Times New Roman"/>
          <w:sz w:val="24"/>
          <w:szCs w:val="24"/>
          <w:lang w:eastAsia="en-US"/>
        </w:rPr>
      </w:pPr>
    </w:p>
    <w:p w14:paraId="7A4BB73E" w14:textId="77777777" w:rsidR="000C1E0E" w:rsidRDefault="000C1E0E" w:rsidP="000C1E0E">
      <w:pPr>
        <w:spacing w:before="120" w:after="200" w:line="360" w:lineRule="auto"/>
        <w:jc w:val="right"/>
        <w:rPr>
          <w:rFonts w:ascii="Times New Roman" w:eastAsia="Batang" w:hAnsi="Times New Roman"/>
          <w:sz w:val="24"/>
          <w:szCs w:val="24"/>
          <w:lang w:eastAsia="en-US"/>
        </w:rPr>
      </w:pPr>
    </w:p>
    <w:p w14:paraId="45C1BFBB" w14:textId="77777777" w:rsidR="000C1E0E" w:rsidRDefault="000C1E0E" w:rsidP="000C1E0E">
      <w:pPr>
        <w:spacing w:before="120" w:after="200" w:line="360" w:lineRule="auto"/>
        <w:jc w:val="right"/>
        <w:rPr>
          <w:rFonts w:ascii="Times New Roman" w:eastAsia="Batang" w:hAnsi="Times New Roman"/>
          <w:sz w:val="24"/>
          <w:szCs w:val="24"/>
          <w:lang w:eastAsia="en-US"/>
        </w:rPr>
      </w:pPr>
    </w:p>
    <w:p w14:paraId="34E54CAA" w14:textId="77777777" w:rsidR="000C1E0E" w:rsidRDefault="000C1E0E" w:rsidP="000C1E0E">
      <w:pPr>
        <w:spacing w:before="120" w:after="200" w:line="360" w:lineRule="auto"/>
        <w:jc w:val="right"/>
        <w:rPr>
          <w:rFonts w:ascii="Times New Roman" w:eastAsia="Batang" w:hAnsi="Times New Roman"/>
          <w:sz w:val="24"/>
          <w:szCs w:val="24"/>
          <w:lang w:eastAsia="en-US"/>
        </w:rPr>
      </w:pPr>
    </w:p>
    <w:p w14:paraId="5BBAE687" w14:textId="77777777" w:rsidR="000C1E0E" w:rsidRDefault="000C1E0E" w:rsidP="000C1E0E">
      <w:pPr>
        <w:spacing w:line="360" w:lineRule="auto"/>
        <w:jc w:val="right"/>
        <w:rPr>
          <w:rFonts w:ascii="Times New Roman" w:eastAsia="Batang" w:hAnsi="Times New Roman"/>
          <w:sz w:val="24"/>
          <w:szCs w:val="24"/>
          <w:lang w:eastAsia="en-US"/>
        </w:rPr>
      </w:pPr>
    </w:p>
    <w:p w14:paraId="2C2AC1E7" w14:textId="77777777" w:rsidR="000C1E0E" w:rsidRDefault="000C1E0E" w:rsidP="000C1E0E">
      <w:pPr>
        <w:tabs>
          <w:tab w:val="left" w:pos="3069"/>
        </w:tabs>
        <w:spacing w:line="360" w:lineRule="auto"/>
        <w:jc w:val="center"/>
        <w:rPr>
          <w:rFonts w:ascii="Times New Roman" w:eastAsia="Calibri" w:hAnsi="Times New Roman"/>
          <w:sz w:val="24"/>
          <w:szCs w:val="24"/>
          <w:lang w:eastAsia="en-US"/>
        </w:rPr>
      </w:pPr>
      <w:r>
        <w:rPr>
          <w:rFonts w:ascii="Times New Roman" w:eastAsia="Calibri" w:hAnsi="Times New Roman"/>
          <w:sz w:val="24"/>
          <w:szCs w:val="24"/>
          <w:lang w:eastAsia="en-US"/>
        </w:rPr>
        <w:t>Модель определения расчётной цены для</w:t>
      </w:r>
    </w:p>
    <w:p w14:paraId="7F5D943B" w14:textId="77777777" w:rsidR="000C1E0E" w:rsidRDefault="000C1E0E" w:rsidP="000C1E0E">
      <w:pPr>
        <w:tabs>
          <w:tab w:val="left" w:pos="3069"/>
        </w:tabs>
        <w:spacing w:line="360" w:lineRule="auto"/>
        <w:jc w:val="center"/>
        <w:rPr>
          <w:rFonts w:ascii="Times New Roman" w:eastAsia="Calibri" w:hAnsi="Times New Roman"/>
          <w:sz w:val="24"/>
          <w:szCs w:val="24"/>
          <w:lang w:eastAsia="en-US"/>
        </w:rPr>
      </w:pPr>
      <w:r>
        <w:rPr>
          <w:rFonts w:ascii="Times New Roman" w:eastAsia="Calibri" w:hAnsi="Times New Roman"/>
          <w:sz w:val="24"/>
          <w:szCs w:val="24"/>
          <w:lang w:eastAsia="en-US"/>
        </w:rPr>
        <w:t>российских долговых ценных бумаг, номинированных в рублях, и еврооблигаций</w:t>
      </w:r>
    </w:p>
    <w:p w14:paraId="440C890E" w14:textId="77777777" w:rsidR="000C1E0E" w:rsidRDefault="000C1E0E" w:rsidP="000C1E0E">
      <w:pPr>
        <w:spacing w:line="360" w:lineRule="auto"/>
        <w:ind w:firstLine="426"/>
        <w:jc w:val="left"/>
        <w:rPr>
          <w:rFonts w:ascii="Times New Roman" w:eastAsiaTheme="minorHAnsi" w:hAnsi="Times New Roman"/>
          <w:b/>
          <w:sz w:val="24"/>
          <w:szCs w:val="24"/>
          <w:lang w:eastAsia="en-US"/>
        </w:rPr>
      </w:pPr>
    </w:p>
    <w:p w14:paraId="2FF2AE09" w14:textId="77777777" w:rsidR="000C1E0E" w:rsidRDefault="000C1E0E" w:rsidP="000C1E0E">
      <w:pPr>
        <w:spacing w:line="360" w:lineRule="auto"/>
        <w:ind w:firstLine="426"/>
        <w:jc w:val="left"/>
        <w:rPr>
          <w:rFonts w:ascii="Times New Roman" w:eastAsiaTheme="minorHAnsi" w:hAnsi="Times New Roman"/>
          <w:b/>
          <w:sz w:val="24"/>
          <w:szCs w:val="24"/>
          <w:lang w:eastAsia="en-US"/>
        </w:rPr>
      </w:pPr>
    </w:p>
    <w:p w14:paraId="0C0B61D8" w14:textId="77777777" w:rsidR="000C1E0E" w:rsidRDefault="000C1E0E" w:rsidP="000C1E0E">
      <w:pPr>
        <w:spacing w:line="360" w:lineRule="auto"/>
        <w:ind w:firstLine="426"/>
        <w:jc w:val="left"/>
        <w:rPr>
          <w:rFonts w:ascii="Times New Roman" w:eastAsiaTheme="minorHAnsi" w:hAnsi="Times New Roman"/>
          <w:b/>
          <w:sz w:val="24"/>
          <w:szCs w:val="24"/>
          <w:lang w:eastAsia="en-US"/>
        </w:rPr>
      </w:pPr>
    </w:p>
    <w:p w14:paraId="2BB55564" w14:textId="77777777" w:rsidR="000C1E0E" w:rsidRDefault="000C1E0E" w:rsidP="000C1E0E">
      <w:pPr>
        <w:spacing w:line="360" w:lineRule="auto"/>
        <w:ind w:firstLine="426"/>
        <w:jc w:val="left"/>
        <w:rPr>
          <w:rFonts w:ascii="Times New Roman" w:eastAsiaTheme="minorHAnsi" w:hAnsi="Times New Roman"/>
          <w:b/>
          <w:sz w:val="24"/>
          <w:szCs w:val="24"/>
          <w:lang w:eastAsia="en-US"/>
        </w:rPr>
      </w:pPr>
    </w:p>
    <w:p w14:paraId="6699A076" w14:textId="77777777" w:rsidR="000C1E0E" w:rsidRDefault="000C1E0E" w:rsidP="000C1E0E">
      <w:pPr>
        <w:spacing w:line="360" w:lineRule="auto"/>
        <w:ind w:firstLine="426"/>
        <w:jc w:val="left"/>
        <w:rPr>
          <w:rFonts w:ascii="Times New Roman" w:eastAsiaTheme="minorHAnsi" w:hAnsi="Times New Roman"/>
          <w:b/>
          <w:sz w:val="24"/>
          <w:szCs w:val="24"/>
          <w:lang w:eastAsia="en-US"/>
        </w:rPr>
      </w:pPr>
    </w:p>
    <w:p w14:paraId="2EADC57B" w14:textId="77777777" w:rsidR="000C1E0E" w:rsidRDefault="000C1E0E" w:rsidP="000C1E0E">
      <w:pPr>
        <w:spacing w:line="360" w:lineRule="auto"/>
        <w:ind w:firstLine="426"/>
        <w:jc w:val="left"/>
        <w:rPr>
          <w:rFonts w:ascii="Times New Roman" w:eastAsiaTheme="minorHAnsi" w:hAnsi="Times New Roman"/>
          <w:b/>
          <w:sz w:val="24"/>
          <w:szCs w:val="24"/>
          <w:lang w:eastAsia="en-US"/>
        </w:rPr>
      </w:pPr>
    </w:p>
    <w:p w14:paraId="5B7DC7C3" w14:textId="77777777" w:rsidR="000C1E0E" w:rsidRDefault="000C1E0E" w:rsidP="000C1E0E">
      <w:pPr>
        <w:spacing w:line="360" w:lineRule="auto"/>
        <w:ind w:firstLine="426"/>
        <w:jc w:val="left"/>
        <w:rPr>
          <w:rFonts w:ascii="Times New Roman" w:eastAsiaTheme="minorHAnsi" w:hAnsi="Times New Roman"/>
          <w:b/>
          <w:sz w:val="24"/>
          <w:szCs w:val="24"/>
          <w:lang w:eastAsia="en-US"/>
        </w:rPr>
      </w:pPr>
    </w:p>
    <w:p w14:paraId="03657A01" w14:textId="77777777" w:rsidR="000C1E0E" w:rsidRDefault="000C1E0E" w:rsidP="000C1E0E">
      <w:pPr>
        <w:spacing w:line="360" w:lineRule="auto"/>
        <w:ind w:firstLine="426"/>
        <w:jc w:val="left"/>
        <w:rPr>
          <w:rFonts w:ascii="Times New Roman" w:eastAsiaTheme="minorHAnsi" w:hAnsi="Times New Roman"/>
          <w:b/>
          <w:sz w:val="24"/>
          <w:szCs w:val="24"/>
          <w:lang w:eastAsia="en-US"/>
        </w:rPr>
      </w:pPr>
    </w:p>
    <w:p w14:paraId="67063CFF" w14:textId="77777777" w:rsidR="000C1E0E" w:rsidRDefault="000C1E0E" w:rsidP="000C1E0E">
      <w:pPr>
        <w:spacing w:line="360" w:lineRule="auto"/>
        <w:ind w:firstLine="426"/>
        <w:jc w:val="left"/>
        <w:rPr>
          <w:rFonts w:ascii="Times New Roman" w:eastAsiaTheme="minorHAnsi" w:hAnsi="Times New Roman"/>
          <w:b/>
          <w:sz w:val="24"/>
          <w:szCs w:val="24"/>
          <w:lang w:eastAsia="en-US"/>
        </w:rPr>
      </w:pPr>
    </w:p>
    <w:p w14:paraId="755EEB29" w14:textId="77777777" w:rsidR="000C1E0E" w:rsidRDefault="000C1E0E" w:rsidP="000C1E0E">
      <w:pPr>
        <w:spacing w:line="360" w:lineRule="auto"/>
        <w:ind w:firstLine="426"/>
        <w:jc w:val="left"/>
        <w:rPr>
          <w:rFonts w:ascii="Times New Roman" w:eastAsiaTheme="minorHAnsi" w:hAnsi="Times New Roman"/>
          <w:b/>
          <w:sz w:val="24"/>
          <w:szCs w:val="24"/>
          <w:lang w:eastAsia="en-US"/>
        </w:rPr>
      </w:pPr>
    </w:p>
    <w:p w14:paraId="55706CA5" w14:textId="77777777" w:rsidR="000C1E0E" w:rsidRDefault="000C1E0E" w:rsidP="000C1E0E">
      <w:pPr>
        <w:spacing w:line="360" w:lineRule="auto"/>
        <w:ind w:firstLine="426"/>
        <w:jc w:val="left"/>
        <w:rPr>
          <w:rFonts w:ascii="Times New Roman" w:eastAsiaTheme="minorHAnsi" w:hAnsi="Times New Roman"/>
          <w:b/>
          <w:sz w:val="24"/>
          <w:szCs w:val="24"/>
          <w:lang w:eastAsia="en-US"/>
        </w:rPr>
      </w:pPr>
    </w:p>
    <w:p w14:paraId="5504CD3B" w14:textId="77777777" w:rsidR="000C1E0E" w:rsidRDefault="000C1E0E" w:rsidP="000C1E0E">
      <w:pPr>
        <w:spacing w:line="360" w:lineRule="auto"/>
        <w:ind w:firstLine="426"/>
        <w:jc w:val="left"/>
        <w:rPr>
          <w:rFonts w:ascii="Times New Roman" w:eastAsiaTheme="minorHAnsi" w:hAnsi="Times New Roman"/>
          <w:b/>
          <w:sz w:val="24"/>
          <w:szCs w:val="24"/>
          <w:lang w:eastAsia="en-US"/>
        </w:rPr>
      </w:pPr>
    </w:p>
    <w:p w14:paraId="344241BA" w14:textId="77777777" w:rsidR="000C1E0E" w:rsidRDefault="000C1E0E" w:rsidP="000C1E0E">
      <w:pPr>
        <w:spacing w:line="360" w:lineRule="auto"/>
        <w:ind w:firstLine="426"/>
        <w:jc w:val="left"/>
        <w:rPr>
          <w:rFonts w:ascii="Times New Roman" w:eastAsiaTheme="minorHAnsi" w:hAnsi="Times New Roman"/>
          <w:b/>
          <w:sz w:val="24"/>
          <w:szCs w:val="24"/>
          <w:lang w:eastAsia="en-US"/>
        </w:rPr>
      </w:pPr>
    </w:p>
    <w:p w14:paraId="6CE0489F" w14:textId="77777777" w:rsidR="000C1E0E" w:rsidRDefault="000C1E0E" w:rsidP="000C1E0E">
      <w:pPr>
        <w:spacing w:line="360" w:lineRule="auto"/>
        <w:ind w:firstLine="426"/>
        <w:jc w:val="left"/>
        <w:rPr>
          <w:rFonts w:ascii="Times New Roman" w:eastAsiaTheme="minorHAnsi" w:hAnsi="Times New Roman"/>
          <w:b/>
          <w:sz w:val="24"/>
          <w:szCs w:val="24"/>
          <w:lang w:eastAsia="en-US"/>
        </w:rPr>
      </w:pPr>
    </w:p>
    <w:p w14:paraId="734EE39C" w14:textId="77777777" w:rsidR="000C1E0E" w:rsidRDefault="000C1E0E" w:rsidP="000C1E0E">
      <w:pPr>
        <w:spacing w:line="360" w:lineRule="auto"/>
        <w:ind w:firstLine="426"/>
        <w:jc w:val="left"/>
        <w:rPr>
          <w:rFonts w:ascii="Times New Roman" w:eastAsiaTheme="minorHAnsi" w:hAnsi="Times New Roman"/>
          <w:b/>
          <w:sz w:val="24"/>
          <w:szCs w:val="24"/>
          <w:lang w:eastAsia="en-US"/>
        </w:rPr>
      </w:pPr>
    </w:p>
    <w:p w14:paraId="347ECE6F" w14:textId="77777777" w:rsidR="000C1E0E" w:rsidRDefault="000C1E0E" w:rsidP="000C1E0E">
      <w:pPr>
        <w:spacing w:line="360" w:lineRule="auto"/>
        <w:ind w:firstLine="426"/>
        <w:jc w:val="left"/>
        <w:rPr>
          <w:rFonts w:ascii="Times New Roman" w:eastAsiaTheme="minorHAnsi" w:hAnsi="Times New Roman"/>
          <w:b/>
          <w:sz w:val="24"/>
          <w:szCs w:val="24"/>
          <w:lang w:eastAsia="en-US"/>
        </w:rPr>
      </w:pPr>
    </w:p>
    <w:p w14:paraId="7FC24E6A" w14:textId="77777777" w:rsidR="000C1E0E" w:rsidRDefault="000C1E0E" w:rsidP="000C1E0E">
      <w:pPr>
        <w:spacing w:after="200" w:line="276" w:lineRule="auto"/>
        <w:jc w:val="left"/>
        <w:rPr>
          <w:rFonts w:ascii="Times New Roman" w:eastAsiaTheme="minorHAnsi" w:hAnsi="Times New Roman"/>
          <w:b/>
          <w:sz w:val="24"/>
          <w:szCs w:val="24"/>
          <w:lang w:eastAsia="en-US"/>
        </w:rPr>
      </w:pPr>
      <w:r>
        <w:rPr>
          <w:rFonts w:ascii="Times New Roman" w:eastAsiaTheme="minorHAnsi" w:hAnsi="Times New Roman"/>
          <w:b/>
          <w:sz w:val="24"/>
          <w:szCs w:val="24"/>
          <w:lang w:eastAsia="en-US"/>
        </w:rPr>
        <w:br w:type="page"/>
      </w:r>
    </w:p>
    <w:p w14:paraId="5C472D65" w14:textId="77777777" w:rsidR="000C1E0E" w:rsidRDefault="000C1E0E" w:rsidP="000C1E0E">
      <w:pPr>
        <w:spacing w:line="360" w:lineRule="auto"/>
        <w:ind w:firstLine="426"/>
        <w:jc w:val="left"/>
        <w:rPr>
          <w:rFonts w:ascii="Times New Roman" w:eastAsiaTheme="minorHAnsi" w:hAnsi="Times New Roman"/>
          <w:b/>
          <w:sz w:val="24"/>
          <w:szCs w:val="24"/>
          <w:u w:val="single"/>
          <w:lang w:eastAsia="en-US"/>
        </w:rPr>
      </w:pPr>
      <w:r>
        <w:rPr>
          <w:rFonts w:ascii="Times New Roman" w:eastAsiaTheme="minorHAnsi" w:hAnsi="Times New Roman"/>
          <w:b/>
          <w:sz w:val="24"/>
          <w:szCs w:val="24"/>
          <w:u w:val="single"/>
          <w:lang w:eastAsia="en-US"/>
        </w:rPr>
        <w:t>Рублевые облигации российских эмитентов</w:t>
      </w:r>
    </w:p>
    <w:p w14:paraId="31A56352" w14:textId="77777777" w:rsidR="000C1E0E" w:rsidRDefault="000C1E0E" w:rsidP="000C1E0E">
      <w:pPr>
        <w:spacing w:line="360" w:lineRule="auto"/>
        <w:ind w:firstLine="426"/>
        <w:rPr>
          <w:rFonts w:ascii="Times New Roman" w:eastAsiaTheme="minorHAnsi" w:hAnsi="Times New Roman"/>
          <w:sz w:val="24"/>
          <w:szCs w:val="24"/>
          <w:lang w:eastAsia="en-US"/>
        </w:rPr>
      </w:pPr>
      <w:r>
        <w:rPr>
          <w:rFonts w:ascii="Times New Roman" w:eastAsiaTheme="minorHAnsi" w:hAnsi="Times New Roman"/>
          <w:b/>
          <w:sz w:val="24"/>
          <w:szCs w:val="24"/>
          <w:lang w:eastAsia="en-US"/>
        </w:rPr>
        <w:t>Уровень 2.</w:t>
      </w:r>
      <w:r>
        <w:rPr>
          <w:rFonts w:ascii="Times New Roman" w:eastAsiaTheme="minorHAnsi" w:hAnsi="Times New Roman"/>
          <w:sz w:val="24"/>
          <w:szCs w:val="24"/>
          <w:lang w:eastAsia="en-US"/>
        </w:rPr>
        <w:t xml:space="preserve"> В случае отсутствия активного рынка на дату оценки, а так же в случае, если основным рынком для облигации является внебиржевой рынок, справедливой ценой облигации признается одна из следующих котировок (расположены в сторону уменьшения приоритетности):</w:t>
      </w:r>
    </w:p>
    <w:p w14:paraId="30DFFC49" w14:textId="77777777" w:rsidR="000C1E0E" w:rsidRDefault="000C1E0E" w:rsidP="000C1E0E">
      <w:pPr>
        <w:spacing w:line="360" w:lineRule="auto"/>
        <w:ind w:firstLine="426"/>
        <w:rPr>
          <w:rFonts w:ascii="Times New Roman" w:eastAsiaTheme="minorHAnsi" w:hAnsi="Times New Roman"/>
          <w:sz w:val="24"/>
          <w:szCs w:val="24"/>
          <w:lang w:eastAsia="en-US"/>
        </w:rPr>
      </w:pPr>
      <w:r>
        <w:rPr>
          <w:rFonts w:ascii="Times New Roman" w:eastAsiaTheme="minorHAnsi" w:hAnsi="Times New Roman"/>
          <w:sz w:val="24"/>
          <w:szCs w:val="24"/>
          <w:lang w:eastAsia="en-US"/>
        </w:rPr>
        <w:t>1. Котировка, рассчитанная Ценовым центром НРД по Методике определения стоимости справедливых цен рублевых облигаций</w:t>
      </w:r>
      <w:r>
        <w:rPr>
          <w:sz w:val="24"/>
          <w:szCs w:val="24"/>
        </w:rPr>
        <w:t xml:space="preserve"> </w:t>
      </w:r>
      <w:r>
        <w:rPr>
          <w:b/>
          <w:sz w:val="24"/>
          <w:szCs w:val="24"/>
        </w:rPr>
        <w:t>по методологиям, утвержденным 01.12.2017 и позднее</w:t>
      </w:r>
      <w:r>
        <w:rPr>
          <w:rFonts w:ascii="Times New Roman" w:eastAsiaTheme="minorHAnsi" w:hAnsi="Times New Roman"/>
          <w:sz w:val="24"/>
          <w:szCs w:val="24"/>
          <w:lang w:eastAsia="en-US"/>
        </w:rPr>
        <w:t>, далее – «Методика НРД для рублевых облигаций».</w:t>
      </w:r>
    </w:p>
    <w:p w14:paraId="1BDE388A" w14:textId="77777777" w:rsidR="000C1E0E" w:rsidRDefault="000C1E0E" w:rsidP="000C1E0E">
      <w:pPr>
        <w:spacing w:line="360" w:lineRule="auto"/>
        <w:ind w:firstLine="426"/>
        <w:rPr>
          <w:rFonts w:ascii="Times New Roman" w:eastAsiaTheme="minorHAnsi" w:hAnsi="Times New Roman"/>
          <w:sz w:val="24"/>
          <w:szCs w:val="24"/>
          <w:lang w:eastAsia="en-US"/>
        </w:rPr>
      </w:pPr>
      <w:r>
        <w:rPr>
          <w:rFonts w:ascii="Times New Roman" w:eastAsiaTheme="minorHAnsi" w:hAnsi="Times New Roman"/>
          <w:sz w:val="24"/>
          <w:szCs w:val="24"/>
          <w:lang w:eastAsia="en-US"/>
        </w:rPr>
        <w:t>2. Котировка, рассчитанная Ценовым центром НРД по Методике определения справедливых цен НРД, далее – «Методика ОСЦ НРД».</w:t>
      </w:r>
    </w:p>
    <w:p w14:paraId="372BCC91" w14:textId="77777777" w:rsidR="000C1E0E" w:rsidRDefault="000C1E0E" w:rsidP="000C1E0E">
      <w:pPr>
        <w:spacing w:line="360" w:lineRule="auto"/>
        <w:ind w:firstLine="426"/>
        <w:rPr>
          <w:rFonts w:ascii="Times New Roman" w:eastAsiaTheme="minorHAnsi" w:hAnsi="Times New Roman"/>
          <w:sz w:val="24"/>
          <w:szCs w:val="24"/>
          <w:lang w:eastAsia="en-US"/>
        </w:rPr>
      </w:pPr>
      <w:r>
        <w:rPr>
          <w:rFonts w:ascii="Times New Roman" w:eastAsiaTheme="minorHAnsi" w:hAnsi="Times New Roman"/>
          <w:sz w:val="24"/>
          <w:szCs w:val="24"/>
          <w:lang w:eastAsia="en-US"/>
        </w:rPr>
        <w:t>3. Если для одного из 30 торговых дней, предшествующих дате расчета справедливой стоимости, имеется возможность определить справедливую стоимость с использованием котировок, применяемых для оценки по Уровню 1 (определяется LEGAL_CLOSE_PRICE при условии VOLUME &gt;0 при наличии активного рынка), применяется метод корректировки последней исторической цены по соответствующим ценовым облигационным индексам, ежедневно публикуемым Московской биржей (описание: www.moex.com/ru/index/RUABITR/about/): индекс государственных облигаций RGBI, индекс корпоративных облигаций MICEXCBICP, индекс муниципальных облигаций MICEXMBICP (кроме случаев, когда основным рынком для облигации является внебиржевой рынок).</w:t>
      </w:r>
    </w:p>
    <w:p w14:paraId="2653A6A0" w14:textId="77777777" w:rsidR="000C1E0E" w:rsidRDefault="00C74876" w:rsidP="000C1E0E">
      <w:pPr>
        <w:spacing w:line="360" w:lineRule="auto"/>
        <w:rPr>
          <w:rFonts w:ascii="Times New Roman" w:hAnsi="Times New Roman"/>
          <w:sz w:val="24"/>
          <w:szCs w:val="24"/>
          <w:lang w:eastAsia="en-US"/>
        </w:rPr>
      </w:pPr>
      <m:oMathPara>
        <m:oMath>
          <m:sSub>
            <m:sSubPr>
              <m:ctrlPr>
                <w:rPr>
                  <w:rFonts w:ascii="Cambria Math" w:hAnsi="Cambria Math"/>
                  <w:sz w:val="24"/>
                  <w:szCs w:val="24"/>
                  <w:lang w:eastAsia="en-US"/>
                </w:rPr>
              </m:ctrlPr>
            </m:sSubPr>
            <m:e>
              <m:r>
                <m:rPr>
                  <m:sty m:val="p"/>
                </m:rPr>
                <w:rPr>
                  <w:rFonts w:ascii="Cambria Math" w:hAnsi="Times New Roman"/>
                  <w:sz w:val="24"/>
                  <w:szCs w:val="24"/>
                  <w:lang w:eastAsia="en-US"/>
                </w:rPr>
                <m:t>P</m:t>
              </m:r>
            </m:e>
            <m:sub>
              <m:r>
                <m:rPr>
                  <m:sty m:val="p"/>
                </m:rPr>
                <w:rPr>
                  <w:rFonts w:ascii="Cambria Math" w:hAnsi="Times New Roman"/>
                  <w:sz w:val="24"/>
                  <w:szCs w:val="24"/>
                  <w:lang w:eastAsia="en-US"/>
                </w:rPr>
                <m:t>1</m:t>
              </m:r>
            </m:sub>
          </m:sSub>
          <m:r>
            <m:rPr>
              <m:sty m:val="p"/>
            </m:rPr>
            <w:rPr>
              <w:rFonts w:ascii="Cambria Math" w:hAnsi="Times New Roman"/>
              <w:sz w:val="24"/>
              <w:szCs w:val="24"/>
              <w:lang w:eastAsia="en-US"/>
            </w:rPr>
            <m:t>=</m:t>
          </m:r>
          <m:sSub>
            <m:sSubPr>
              <m:ctrlPr>
                <w:rPr>
                  <w:rFonts w:ascii="Cambria Math" w:hAnsi="Cambria Math"/>
                  <w:sz w:val="24"/>
                  <w:szCs w:val="24"/>
                  <w:lang w:eastAsia="en-US"/>
                </w:rPr>
              </m:ctrlPr>
            </m:sSubPr>
            <m:e>
              <m:r>
                <m:rPr>
                  <m:sty m:val="p"/>
                </m:rPr>
                <w:rPr>
                  <w:rFonts w:ascii="Cambria Math" w:hAnsi="Times New Roman"/>
                  <w:sz w:val="24"/>
                  <w:szCs w:val="24"/>
                  <w:lang w:eastAsia="en-US"/>
                </w:rPr>
                <m:t>P</m:t>
              </m:r>
            </m:e>
            <m:sub>
              <m:r>
                <m:rPr>
                  <m:sty m:val="p"/>
                </m:rPr>
                <w:rPr>
                  <w:rFonts w:ascii="Cambria Math" w:hAnsi="Times New Roman"/>
                  <w:sz w:val="24"/>
                  <w:szCs w:val="24"/>
                  <w:lang w:eastAsia="en-US"/>
                </w:rPr>
                <m:t>0</m:t>
              </m:r>
            </m:sub>
          </m:sSub>
          <m:r>
            <m:rPr>
              <m:sty m:val="p"/>
            </m:rPr>
            <w:rPr>
              <w:rFonts w:ascii="Cambria Math" w:hAnsi="Cambria Math"/>
              <w:sz w:val="24"/>
              <w:szCs w:val="24"/>
              <w:lang w:eastAsia="en-US"/>
            </w:rPr>
            <m:t>×</m:t>
          </m:r>
          <m:d>
            <m:dPr>
              <m:ctrlPr>
                <w:rPr>
                  <w:rFonts w:ascii="Cambria Math" w:hAnsi="Cambria Math"/>
                  <w:sz w:val="24"/>
                  <w:szCs w:val="24"/>
                  <w:lang w:eastAsia="en-US"/>
                </w:rPr>
              </m:ctrlPr>
            </m:dPr>
            <m:e>
              <m:r>
                <m:rPr>
                  <m:sty m:val="p"/>
                </m:rPr>
                <w:rPr>
                  <w:rFonts w:ascii="Cambria Math" w:hAnsi="Times New Roman"/>
                  <w:sz w:val="24"/>
                  <w:szCs w:val="24"/>
                  <w:lang w:eastAsia="en-US"/>
                </w:rPr>
                <m:t>1+E(R)</m:t>
              </m:r>
            </m:e>
          </m:d>
        </m:oMath>
      </m:oMathPara>
    </w:p>
    <w:p w14:paraId="722C1AB1" w14:textId="77777777" w:rsidR="000C1E0E" w:rsidRDefault="000C1E0E" w:rsidP="000C1E0E">
      <w:pPr>
        <w:spacing w:line="360" w:lineRule="auto"/>
        <w:rPr>
          <w:rFonts w:ascii="Times New Roman" w:hAnsi="Times New Roman"/>
          <w:sz w:val="24"/>
          <w:szCs w:val="24"/>
          <w:lang w:eastAsia="en-US"/>
        </w:rPr>
      </w:pPr>
    </w:p>
    <w:p w14:paraId="2108FEF3" w14:textId="77777777" w:rsidR="000C1E0E" w:rsidRDefault="000C1E0E" w:rsidP="000C1E0E">
      <w:pPr>
        <w:spacing w:line="360" w:lineRule="auto"/>
        <w:rPr>
          <w:rFonts w:ascii="Times New Roman" w:hAnsi="Times New Roman"/>
          <w:sz w:val="24"/>
          <w:szCs w:val="24"/>
          <w:lang w:eastAsia="en-US"/>
        </w:rPr>
      </w:pPr>
      <w:r>
        <w:rPr>
          <w:rFonts w:ascii="Times New Roman" w:hAnsi="Times New Roman"/>
          <w:sz w:val="24"/>
          <w:szCs w:val="24"/>
          <w:lang w:eastAsia="en-US"/>
        </w:rPr>
        <w:t>Формула расчета ожидаемой доходности модели CAPM:</w:t>
      </w:r>
    </w:p>
    <w:p w14:paraId="7129737C" w14:textId="77777777" w:rsidR="000C1E0E" w:rsidRDefault="000C1E0E" w:rsidP="000C1E0E">
      <w:pPr>
        <w:spacing w:line="360" w:lineRule="auto"/>
        <w:rPr>
          <w:rFonts w:ascii="Times New Roman" w:hAnsi="Times New Roman"/>
          <w:sz w:val="24"/>
          <w:szCs w:val="24"/>
          <w:lang w:eastAsia="en-US"/>
        </w:rPr>
      </w:pPr>
    </w:p>
    <w:p w14:paraId="5E4059A0" w14:textId="77777777" w:rsidR="000C1E0E" w:rsidRDefault="000C1E0E" w:rsidP="000C1E0E">
      <w:pPr>
        <w:spacing w:line="360" w:lineRule="auto"/>
        <w:rPr>
          <w:rFonts w:ascii="Times New Roman" w:hAnsi="Times New Roman"/>
          <w:sz w:val="24"/>
          <w:szCs w:val="24"/>
          <w:lang w:eastAsia="en-US"/>
        </w:rPr>
      </w:pPr>
      <m:oMathPara>
        <m:oMath>
          <m:r>
            <m:rPr>
              <m:sty m:val="p"/>
            </m:rPr>
            <w:rPr>
              <w:rFonts w:ascii="Cambria Math" w:hAnsi="Times New Roman"/>
              <w:sz w:val="24"/>
              <w:szCs w:val="24"/>
              <w:lang w:eastAsia="en-US"/>
            </w:rPr>
            <m:t>E</m:t>
          </m:r>
          <m:d>
            <m:dPr>
              <m:ctrlPr>
                <w:rPr>
                  <w:rFonts w:ascii="Cambria Math" w:hAnsi="Cambria Math"/>
                  <w:sz w:val="24"/>
                  <w:szCs w:val="24"/>
                  <w:lang w:eastAsia="en-US"/>
                </w:rPr>
              </m:ctrlPr>
            </m:dPr>
            <m:e>
              <m:r>
                <m:rPr>
                  <m:sty m:val="p"/>
                </m:rPr>
                <w:rPr>
                  <w:rFonts w:ascii="Cambria Math" w:hAnsi="Times New Roman"/>
                  <w:sz w:val="24"/>
                  <w:szCs w:val="24"/>
                  <w:lang w:eastAsia="en-US"/>
                </w:rPr>
                <m:t>R</m:t>
              </m:r>
            </m:e>
          </m:d>
          <m:r>
            <m:rPr>
              <m:sty m:val="p"/>
            </m:rPr>
            <w:rPr>
              <w:rFonts w:ascii="Cambria Math" w:hAnsi="Times New Roman"/>
              <w:sz w:val="24"/>
              <w:szCs w:val="24"/>
              <w:lang w:eastAsia="en-US"/>
            </w:rPr>
            <m:t>=</m:t>
          </m:r>
          <m:sSubSup>
            <m:sSubSupPr>
              <m:ctrlPr>
                <w:rPr>
                  <w:rFonts w:ascii="Cambria Math" w:hAnsi="Cambria Math"/>
                  <w:sz w:val="24"/>
                  <w:szCs w:val="24"/>
                  <w:lang w:eastAsia="en-US"/>
                </w:rPr>
              </m:ctrlPr>
            </m:sSubSupPr>
            <m:e>
              <m:r>
                <m:rPr>
                  <m:sty m:val="p"/>
                </m:rPr>
                <w:rPr>
                  <w:rFonts w:ascii="Cambria Math" w:hAnsi="Times New Roman"/>
                  <w:sz w:val="24"/>
                  <w:szCs w:val="24"/>
                  <w:lang w:eastAsia="en-US"/>
                </w:rPr>
                <m:t>R</m:t>
              </m:r>
            </m:e>
            <m:sub>
              <m:r>
                <m:rPr>
                  <m:sty m:val="p"/>
                </m:rPr>
                <w:rPr>
                  <w:rFonts w:ascii="Cambria Math" w:hAnsi="Times New Roman"/>
                  <w:sz w:val="24"/>
                  <w:szCs w:val="24"/>
                  <w:lang w:eastAsia="en-US"/>
                </w:rPr>
                <m:t>f</m:t>
              </m:r>
            </m:sub>
            <m:sup>
              <m:r>
                <m:rPr>
                  <m:sty m:val="p"/>
                </m:rPr>
                <w:rPr>
                  <w:rFonts w:ascii="Cambria Math" w:hAnsi="Cambria Math"/>
                  <w:sz w:val="24"/>
                  <w:szCs w:val="24"/>
                  <w:lang w:eastAsia="en-US"/>
                </w:rPr>
                <m:t>'</m:t>
              </m:r>
            </m:sup>
          </m:sSubSup>
          <m:r>
            <m:rPr>
              <m:sty m:val="p"/>
            </m:rPr>
            <w:rPr>
              <w:rFonts w:ascii="Cambria Math" w:hAnsi="Times New Roman"/>
              <w:sz w:val="24"/>
              <w:szCs w:val="24"/>
              <w:lang w:eastAsia="en-US"/>
            </w:rPr>
            <m:t>+</m:t>
          </m:r>
          <m:r>
            <m:rPr>
              <m:sty m:val="p"/>
            </m:rPr>
            <w:rPr>
              <w:rFonts w:ascii="Cambria Math" w:hAnsi="Cambria Math"/>
              <w:sz w:val="24"/>
              <w:szCs w:val="24"/>
              <w:lang w:eastAsia="en-US"/>
            </w:rPr>
            <m:t>β</m:t>
          </m:r>
          <m:r>
            <m:rPr>
              <m:sty m:val="p"/>
            </m:rPr>
            <w:rPr>
              <w:rFonts w:ascii="Cambria Math" w:hAnsi="Times New Roman"/>
              <w:sz w:val="24"/>
              <w:szCs w:val="24"/>
              <w:lang w:eastAsia="en-US"/>
            </w:rPr>
            <m:t xml:space="preserve"> </m:t>
          </m:r>
          <m:d>
            <m:dPr>
              <m:ctrlPr>
                <w:rPr>
                  <w:rFonts w:ascii="Cambria Math" w:hAnsi="Cambria Math"/>
                  <w:sz w:val="24"/>
                  <w:szCs w:val="24"/>
                  <w:lang w:eastAsia="en-US"/>
                </w:rPr>
              </m:ctrlPr>
            </m:dPr>
            <m:e>
              <m:sSub>
                <m:sSubPr>
                  <m:ctrlPr>
                    <w:rPr>
                      <w:rFonts w:ascii="Cambria Math" w:hAnsi="Cambria Math"/>
                      <w:sz w:val="24"/>
                      <w:szCs w:val="24"/>
                      <w:lang w:eastAsia="en-US"/>
                    </w:rPr>
                  </m:ctrlPr>
                </m:sSubPr>
                <m:e>
                  <m:r>
                    <m:rPr>
                      <m:sty m:val="p"/>
                    </m:rPr>
                    <w:rPr>
                      <w:rFonts w:ascii="Cambria Math" w:hAnsi="Times New Roman"/>
                      <w:sz w:val="24"/>
                      <w:szCs w:val="24"/>
                      <w:lang w:eastAsia="en-US"/>
                    </w:rPr>
                    <m:t>R</m:t>
                  </m:r>
                </m:e>
                <m:sub>
                  <m:r>
                    <m:rPr>
                      <m:sty m:val="p"/>
                    </m:rPr>
                    <w:rPr>
                      <w:rFonts w:ascii="Cambria Math" w:hAnsi="Times New Roman"/>
                      <w:sz w:val="24"/>
                      <w:szCs w:val="24"/>
                      <w:lang w:eastAsia="en-US"/>
                    </w:rPr>
                    <m:t>m</m:t>
                  </m:r>
                </m:sub>
              </m:sSub>
              <m:r>
                <m:rPr>
                  <m:sty m:val="p"/>
                </m:rPr>
                <w:rPr>
                  <w:rFonts w:ascii="Cambria Math" w:hAnsi="Cambria Math"/>
                  <w:sz w:val="24"/>
                  <w:szCs w:val="24"/>
                  <w:lang w:eastAsia="en-US"/>
                </w:rPr>
                <m:t>-</m:t>
              </m:r>
              <m:sSub>
                <m:sSubPr>
                  <m:ctrlPr>
                    <w:rPr>
                      <w:rFonts w:ascii="Cambria Math" w:hAnsi="Cambria Math"/>
                      <w:sz w:val="24"/>
                      <w:szCs w:val="24"/>
                      <w:lang w:eastAsia="en-US"/>
                    </w:rPr>
                  </m:ctrlPr>
                </m:sSubPr>
                <m:e>
                  <m:r>
                    <m:rPr>
                      <m:sty m:val="p"/>
                    </m:rPr>
                    <w:rPr>
                      <w:rFonts w:ascii="Cambria Math" w:hAnsi="Times New Roman"/>
                      <w:sz w:val="24"/>
                      <w:szCs w:val="24"/>
                      <w:lang w:eastAsia="en-US"/>
                    </w:rPr>
                    <m:t>R</m:t>
                  </m:r>
                </m:e>
                <m:sub>
                  <m:r>
                    <m:rPr>
                      <m:sty m:val="p"/>
                    </m:rPr>
                    <w:rPr>
                      <w:rFonts w:ascii="Cambria Math" w:hAnsi="Times New Roman"/>
                      <w:sz w:val="24"/>
                      <w:szCs w:val="24"/>
                      <w:lang w:eastAsia="en-US"/>
                    </w:rPr>
                    <m:t>f</m:t>
                  </m:r>
                </m:sub>
              </m:sSub>
            </m:e>
          </m:d>
        </m:oMath>
      </m:oMathPara>
    </w:p>
    <w:p w14:paraId="65BB3972" w14:textId="77777777" w:rsidR="000C1E0E" w:rsidRDefault="000C1E0E" w:rsidP="000C1E0E">
      <w:pPr>
        <w:spacing w:line="360" w:lineRule="auto"/>
        <w:rPr>
          <w:rFonts w:ascii="Times New Roman" w:hAnsi="Times New Roman"/>
          <w:sz w:val="24"/>
          <w:szCs w:val="24"/>
          <w:lang w:eastAsia="en-US"/>
        </w:rPr>
      </w:pPr>
    </w:p>
    <w:p w14:paraId="5A97C0F3" w14:textId="77777777" w:rsidR="000C1E0E" w:rsidRDefault="00C74876" w:rsidP="000C1E0E">
      <w:pPr>
        <w:spacing w:line="360" w:lineRule="auto"/>
        <w:rPr>
          <w:rFonts w:ascii="Times New Roman" w:hAnsi="Times New Roman"/>
          <w:sz w:val="24"/>
          <w:szCs w:val="24"/>
          <w:lang w:eastAsia="en-US"/>
        </w:rPr>
      </w:pPr>
      <m:oMathPara>
        <m:oMath>
          <m:sSub>
            <m:sSubPr>
              <m:ctrlPr>
                <w:rPr>
                  <w:rFonts w:ascii="Cambria Math" w:hAnsi="Cambria Math"/>
                  <w:sz w:val="24"/>
                  <w:szCs w:val="24"/>
                  <w:lang w:eastAsia="en-US"/>
                </w:rPr>
              </m:ctrlPr>
            </m:sSubPr>
            <m:e>
              <m:r>
                <m:rPr>
                  <m:sty m:val="p"/>
                </m:rPr>
                <w:rPr>
                  <w:rFonts w:ascii="Cambria Math" w:hAnsi="Times New Roman"/>
                  <w:sz w:val="24"/>
                  <w:szCs w:val="24"/>
                  <w:lang w:eastAsia="en-US"/>
                </w:rPr>
                <m:t>R</m:t>
              </m:r>
            </m:e>
            <m:sub>
              <m:r>
                <m:rPr>
                  <m:sty m:val="p"/>
                </m:rPr>
                <w:rPr>
                  <w:rFonts w:ascii="Cambria Math" w:hAnsi="Times New Roman"/>
                  <w:sz w:val="24"/>
                  <w:szCs w:val="24"/>
                  <w:lang w:eastAsia="en-US"/>
                </w:rPr>
                <m:t>m</m:t>
              </m:r>
            </m:sub>
          </m:sSub>
          <m:r>
            <m:rPr>
              <m:sty m:val="p"/>
            </m:rPr>
            <w:rPr>
              <w:rFonts w:ascii="Cambria Math" w:hAnsi="Times New Roman"/>
              <w:sz w:val="24"/>
              <w:szCs w:val="24"/>
              <w:lang w:eastAsia="en-US"/>
            </w:rPr>
            <m:t>=</m:t>
          </m:r>
          <m:f>
            <m:fPr>
              <m:ctrlPr>
                <w:rPr>
                  <w:rFonts w:ascii="Cambria Math" w:hAnsi="Cambria Math"/>
                  <w:sz w:val="24"/>
                  <w:szCs w:val="24"/>
                  <w:lang w:eastAsia="en-US"/>
                </w:rPr>
              </m:ctrlPr>
            </m:fPr>
            <m:num>
              <m:sSub>
                <m:sSubPr>
                  <m:ctrlPr>
                    <w:rPr>
                      <w:rFonts w:ascii="Cambria Math" w:hAnsi="Cambria Math"/>
                      <w:sz w:val="24"/>
                      <w:szCs w:val="24"/>
                      <w:lang w:eastAsia="en-US"/>
                    </w:rPr>
                  </m:ctrlPr>
                </m:sSubPr>
                <m:e>
                  <m:r>
                    <m:rPr>
                      <m:sty m:val="p"/>
                    </m:rPr>
                    <w:rPr>
                      <w:rFonts w:ascii="Cambria Math" w:hAnsi="Times New Roman"/>
                      <w:sz w:val="24"/>
                      <w:szCs w:val="24"/>
                      <w:lang w:eastAsia="en-US"/>
                    </w:rPr>
                    <m:t>Pm</m:t>
                  </m:r>
                </m:e>
                <m:sub>
                  <m:r>
                    <m:rPr>
                      <m:sty m:val="p"/>
                    </m:rPr>
                    <w:rPr>
                      <w:rFonts w:ascii="Cambria Math" w:hAnsi="Times New Roman"/>
                      <w:sz w:val="24"/>
                      <w:szCs w:val="24"/>
                      <w:lang w:eastAsia="en-US"/>
                    </w:rPr>
                    <m:t>1</m:t>
                  </m:r>
                </m:sub>
              </m:sSub>
            </m:num>
            <m:den>
              <m:sSub>
                <m:sSubPr>
                  <m:ctrlPr>
                    <w:rPr>
                      <w:rFonts w:ascii="Cambria Math" w:hAnsi="Cambria Math"/>
                      <w:sz w:val="24"/>
                      <w:szCs w:val="24"/>
                      <w:lang w:eastAsia="en-US"/>
                    </w:rPr>
                  </m:ctrlPr>
                </m:sSubPr>
                <m:e>
                  <m:r>
                    <m:rPr>
                      <m:sty m:val="p"/>
                    </m:rPr>
                    <w:rPr>
                      <w:rFonts w:ascii="Cambria Math" w:hAnsi="Times New Roman"/>
                      <w:sz w:val="24"/>
                      <w:szCs w:val="24"/>
                      <w:lang w:eastAsia="en-US"/>
                    </w:rPr>
                    <m:t>Pm</m:t>
                  </m:r>
                </m:e>
                <m:sub>
                  <m:r>
                    <m:rPr>
                      <m:sty m:val="p"/>
                    </m:rPr>
                    <w:rPr>
                      <w:rFonts w:ascii="Cambria Math" w:hAnsi="Times New Roman"/>
                      <w:sz w:val="24"/>
                      <w:szCs w:val="24"/>
                      <w:lang w:eastAsia="en-US"/>
                    </w:rPr>
                    <m:t>0</m:t>
                  </m:r>
                </m:sub>
              </m:sSub>
            </m:den>
          </m:f>
          <m:r>
            <m:rPr>
              <m:sty m:val="p"/>
            </m:rPr>
            <w:rPr>
              <w:rFonts w:ascii="Cambria Math" w:hAnsi="Cambria Math"/>
              <w:sz w:val="24"/>
              <w:szCs w:val="24"/>
              <w:lang w:eastAsia="en-US"/>
            </w:rPr>
            <m:t>-</m:t>
          </m:r>
          <m:r>
            <m:rPr>
              <m:sty m:val="p"/>
            </m:rPr>
            <w:rPr>
              <w:rFonts w:ascii="Cambria Math" w:hAnsi="Times New Roman"/>
              <w:sz w:val="24"/>
              <w:szCs w:val="24"/>
              <w:lang w:eastAsia="en-US"/>
            </w:rPr>
            <m:t>1</m:t>
          </m:r>
        </m:oMath>
      </m:oMathPara>
    </w:p>
    <w:p w14:paraId="0AD211C2" w14:textId="77777777" w:rsidR="000C1E0E" w:rsidRDefault="000C1E0E" w:rsidP="000C1E0E">
      <w:pPr>
        <w:spacing w:line="360" w:lineRule="auto"/>
        <w:rPr>
          <w:rFonts w:ascii="Times New Roman" w:hAnsi="Times New Roman"/>
          <w:sz w:val="24"/>
          <w:szCs w:val="24"/>
          <w:lang w:eastAsia="en-US"/>
        </w:rPr>
      </w:pPr>
    </w:p>
    <w:p w14:paraId="37FFED09" w14:textId="77777777" w:rsidR="000C1E0E" w:rsidRDefault="000C1E0E" w:rsidP="000C1E0E">
      <w:pPr>
        <w:spacing w:line="360" w:lineRule="auto"/>
        <w:rPr>
          <w:rFonts w:ascii="Times New Roman" w:hAnsi="Times New Roman"/>
          <w:sz w:val="24"/>
          <w:szCs w:val="24"/>
          <w:lang w:eastAsia="en-US"/>
        </w:rPr>
      </w:pPr>
      <w:r>
        <w:rPr>
          <w:rFonts w:ascii="Times New Roman" w:hAnsi="Times New Roman"/>
          <w:sz w:val="24"/>
          <w:szCs w:val="24"/>
          <w:lang w:eastAsia="en-US"/>
        </w:rPr>
        <w:t>Параметры формул расчета справедливой стоимости, модели CAPM:</w:t>
      </w:r>
    </w:p>
    <w:p w14:paraId="70353687" w14:textId="77777777" w:rsidR="000C1E0E" w:rsidRDefault="00C74876" w:rsidP="000C1E0E">
      <w:pPr>
        <w:spacing w:line="360" w:lineRule="auto"/>
        <w:rPr>
          <w:rFonts w:ascii="Times New Roman" w:hAnsi="Times New Roman"/>
          <w:sz w:val="24"/>
          <w:szCs w:val="24"/>
          <w:lang w:eastAsia="en-US"/>
        </w:rPr>
      </w:pPr>
      <m:oMath>
        <m:sSub>
          <m:sSubPr>
            <m:ctrlPr>
              <w:rPr>
                <w:rFonts w:ascii="Cambria Math" w:hAnsi="Cambria Math"/>
                <w:sz w:val="24"/>
                <w:szCs w:val="24"/>
                <w:lang w:eastAsia="en-US"/>
              </w:rPr>
            </m:ctrlPr>
          </m:sSubPr>
          <m:e>
            <m:r>
              <m:rPr>
                <m:sty m:val="p"/>
              </m:rPr>
              <w:rPr>
                <w:rFonts w:ascii="Cambria Math" w:hAnsi="Times New Roman"/>
                <w:sz w:val="24"/>
                <w:szCs w:val="24"/>
                <w:lang w:eastAsia="en-US"/>
              </w:rPr>
              <m:t>P</m:t>
            </m:r>
          </m:e>
          <m:sub>
            <m:r>
              <m:rPr>
                <m:sty m:val="p"/>
              </m:rPr>
              <w:rPr>
                <w:rFonts w:ascii="Cambria Math" w:hAnsi="Times New Roman"/>
                <w:sz w:val="24"/>
                <w:szCs w:val="24"/>
                <w:lang w:eastAsia="en-US"/>
              </w:rPr>
              <m:t>1</m:t>
            </m:r>
          </m:sub>
        </m:sSub>
      </m:oMath>
      <w:r w:rsidR="000C1E0E">
        <w:rPr>
          <w:rFonts w:ascii="Times New Roman" w:hAnsi="Times New Roman"/>
          <w:sz w:val="24"/>
          <w:szCs w:val="24"/>
          <w:lang w:eastAsia="en-US"/>
        </w:rPr>
        <w:t xml:space="preserve"> – справедливая стоимость одной ценной бумаги на дату определения справедливой стоимости;</w:t>
      </w:r>
    </w:p>
    <w:p w14:paraId="4479C517" w14:textId="77777777" w:rsidR="000C1E0E" w:rsidRDefault="00C74876" w:rsidP="000C1E0E">
      <w:pPr>
        <w:spacing w:line="360" w:lineRule="auto"/>
        <w:rPr>
          <w:rFonts w:ascii="Times New Roman" w:hAnsi="Times New Roman"/>
          <w:sz w:val="24"/>
          <w:szCs w:val="24"/>
          <w:lang w:eastAsia="en-US"/>
        </w:rPr>
      </w:pPr>
      <m:oMath>
        <m:sSub>
          <m:sSubPr>
            <m:ctrlPr>
              <w:rPr>
                <w:rFonts w:ascii="Cambria Math" w:hAnsi="Cambria Math"/>
                <w:sz w:val="24"/>
                <w:szCs w:val="24"/>
                <w:lang w:eastAsia="en-US"/>
              </w:rPr>
            </m:ctrlPr>
          </m:sSubPr>
          <m:e>
            <m:r>
              <m:rPr>
                <m:sty m:val="p"/>
              </m:rPr>
              <w:rPr>
                <w:rFonts w:ascii="Cambria Math" w:hAnsi="Times New Roman"/>
                <w:sz w:val="24"/>
                <w:szCs w:val="24"/>
                <w:lang w:eastAsia="en-US"/>
              </w:rPr>
              <m:t>P</m:t>
            </m:r>
          </m:e>
          <m:sub>
            <m:r>
              <m:rPr>
                <m:sty m:val="p"/>
              </m:rPr>
              <w:rPr>
                <w:rFonts w:ascii="Cambria Math" w:hAnsi="Times New Roman"/>
                <w:sz w:val="24"/>
                <w:szCs w:val="24"/>
                <w:lang w:eastAsia="en-US"/>
              </w:rPr>
              <m:t>0</m:t>
            </m:r>
          </m:sub>
        </m:sSub>
      </m:oMath>
      <w:r w:rsidR="000C1E0E">
        <w:rPr>
          <w:rFonts w:ascii="Times New Roman" w:hAnsi="Times New Roman"/>
          <w:sz w:val="24"/>
          <w:szCs w:val="24"/>
          <w:lang w:eastAsia="en-US"/>
        </w:rPr>
        <w:t xml:space="preserve"> – последняя определенная справедливая стоимость ценной бумаги;</w:t>
      </w:r>
    </w:p>
    <w:p w14:paraId="0E8ADA5A" w14:textId="77777777" w:rsidR="000C1E0E" w:rsidRDefault="00C74876" w:rsidP="000C1E0E">
      <w:pPr>
        <w:spacing w:line="360" w:lineRule="auto"/>
        <w:rPr>
          <w:rFonts w:ascii="Times New Roman" w:hAnsi="Times New Roman"/>
          <w:sz w:val="24"/>
          <w:szCs w:val="24"/>
          <w:lang w:eastAsia="en-US"/>
        </w:rPr>
      </w:pPr>
      <m:oMath>
        <m:sSub>
          <m:sSubPr>
            <m:ctrlPr>
              <w:rPr>
                <w:rFonts w:ascii="Cambria Math" w:hAnsi="Cambria Math"/>
                <w:sz w:val="24"/>
                <w:szCs w:val="24"/>
                <w:lang w:eastAsia="en-US"/>
              </w:rPr>
            </m:ctrlPr>
          </m:sSubPr>
          <m:e>
            <m:r>
              <m:rPr>
                <m:sty m:val="p"/>
              </m:rPr>
              <w:rPr>
                <w:rFonts w:ascii="Cambria Math" w:hAnsi="Times New Roman"/>
                <w:sz w:val="24"/>
                <w:szCs w:val="24"/>
                <w:lang w:eastAsia="en-US"/>
              </w:rPr>
              <m:t>Pm</m:t>
            </m:r>
          </m:e>
          <m:sub>
            <m:r>
              <m:rPr>
                <m:sty m:val="p"/>
              </m:rPr>
              <w:rPr>
                <w:rFonts w:ascii="Cambria Math" w:hAnsi="Times New Roman"/>
                <w:sz w:val="24"/>
                <w:szCs w:val="24"/>
                <w:lang w:eastAsia="en-US"/>
              </w:rPr>
              <m:t>1</m:t>
            </m:r>
          </m:sub>
        </m:sSub>
      </m:oMath>
      <w:r w:rsidR="000C1E0E">
        <w:rPr>
          <w:rFonts w:ascii="Times New Roman" w:hAnsi="Times New Roman"/>
          <w:sz w:val="24"/>
          <w:szCs w:val="24"/>
          <w:lang w:eastAsia="en-US"/>
        </w:rPr>
        <w:t xml:space="preserve"> – значение рыночного индикатора на дату определения справедливой стоимости;</w:t>
      </w:r>
    </w:p>
    <w:p w14:paraId="7FE75DBF" w14:textId="77777777" w:rsidR="000C1E0E" w:rsidRDefault="00C74876" w:rsidP="000C1E0E">
      <w:pPr>
        <w:spacing w:line="360" w:lineRule="auto"/>
        <w:rPr>
          <w:rFonts w:ascii="Times New Roman" w:hAnsi="Times New Roman"/>
          <w:sz w:val="24"/>
          <w:szCs w:val="24"/>
          <w:lang w:eastAsia="en-US"/>
        </w:rPr>
      </w:pPr>
      <m:oMath>
        <m:sSub>
          <m:sSubPr>
            <m:ctrlPr>
              <w:rPr>
                <w:rFonts w:ascii="Cambria Math" w:hAnsi="Cambria Math"/>
                <w:sz w:val="24"/>
                <w:szCs w:val="24"/>
                <w:lang w:eastAsia="en-US"/>
              </w:rPr>
            </m:ctrlPr>
          </m:sSubPr>
          <m:e>
            <m:r>
              <m:rPr>
                <m:sty m:val="p"/>
              </m:rPr>
              <w:rPr>
                <w:rFonts w:ascii="Cambria Math" w:hAnsi="Times New Roman"/>
                <w:sz w:val="24"/>
                <w:szCs w:val="24"/>
                <w:lang w:eastAsia="en-US"/>
              </w:rPr>
              <m:t>Pm</m:t>
            </m:r>
          </m:e>
          <m:sub>
            <m:r>
              <m:rPr>
                <m:sty m:val="p"/>
              </m:rPr>
              <w:rPr>
                <w:rFonts w:ascii="Cambria Math" w:hAnsi="Times New Roman"/>
                <w:sz w:val="24"/>
                <w:szCs w:val="24"/>
                <w:lang w:eastAsia="en-US"/>
              </w:rPr>
              <m:t>0</m:t>
            </m:r>
          </m:sub>
        </m:sSub>
      </m:oMath>
      <w:r w:rsidR="000C1E0E">
        <w:rPr>
          <w:rFonts w:ascii="Times New Roman" w:hAnsi="Times New Roman"/>
          <w:sz w:val="24"/>
          <w:szCs w:val="24"/>
          <w:lang w:eastAsia="en-US"/>
        </w:rPr>
        <w:t xml:space="preserve"> – значение рыночного индикатора на предыдущую дату определения справедливой стоимости.</w:t>
      </w:r>
    </w:p>
    <w:p w14:paraId="6A046B49" w14:textId="77777777" w:rsidR="000C1E0E" w:rsidRDefault="000C1E0E" w:rsidP="000C1E0E">
      <w:pPr>
        <w:spacing w:line="360" w:lineRule="auto"/>
        <w:rPr>
          <w:rFonts w:ascii="Times New Roman" w:hAnsi="Times New Roman"/>
          <w:sz w:val="24"/>
          <w:szCs w:val="24"/>
          <w:lang w:eastAsia="en-US"/>
        </w:rPr>
      </w:pPr>
      <m:oMath>
        <m:r>
          <m:rPr>
            <m:sty m:val="p"/>
          </m:rPr>
          <w:rPr>
            <w:rFonts w:ascii="Cambria Math" w:hAnsi="Times New Roman"/>
            <w:sz w:val="24"/>
            <w:szCs w:val="24"/>
            <w:lang w:eastAsia="en-US"/>
          </w:rPr>
          <m:t>E</m:t>
        </m:r>
        <m:d>
          <m:dPr>
            <m:ctrlPr>
              <w:rPr>
                <w:rFonts w:ascii="Cambria Math" w:hAnsi="Cambria Math"/>
                <w:sz w:val="24"/>
                <w:szCs w:val="24"/>
                <w:lang w:eastAsia="en-US"/>
              </w:rPr>
            </m:ctrlPr>
          </m:dPr>
          <m:e>
            <m:r>
              <m:rPr>
                <m:sty m:val="p"/>
              </m:rPr>
              <w:rPr>
                <w:rFonts w:ascii="Cambria Math" w:hAnsi="Times New Roman"/>
                <w:sz w:val="24"/>
                <w:szCs w:val="24"/>
                <w:lang w:eastAsia="en-US"/>
              </w:rPr>
              <m:t>R</m:t>
            </m:r>
          </m:e>
        </m:d>
      </m:oMath>
      <w:r>
        <w:rPr>
          <w:rFonts w:ascii="Times New Roman" w:hAnsi="Times New Roman"/>
          <w:sz w:val="24"/>
          <w:szCs w:val="24"/>
          <w:lang w:eastAsia="en-US"/>
        </w:rPr>
        <w:t xml:space="preserve"> – ожидаемая доходность ценной бумаги;</w:t>
      </w:r>
    </w:p>
    <w:p w14:paraId="4694B5F2" w14:textId="77777777" w:rsidR="000C1E0E" w:rsidRDefault="000C1E0E" w:rsidP="000C1E0E">
      <w:pPr>
        <w:spacing w:line="276" w:lineRule="auto"/>
        <w:rPr>
          <w:rFonts w:ascii="Times New Roman" w:hAnsi="Times New Roman"/>
          <w:sz w:val="24"/>
          <w:szCs w:val="24"/>
          <w:lang w:eastAsia="en-US"/>
        </w:rPr>
      </w:pPr>
      <m:oMath>
        <m:r>
          <m:rPr>
            <m:sty m:val="p"/>
          </m:rPr>
          <w:rPr>
            <w:rFonts w:ascii="Cambria Math" w:hAnsi="Cambria Math"/>
            <w:sz w:val="24"/>
            <w:szCs w:val="24"/>
            <w:lang w:eastAsia="en-US"/>
          </w:rPr>
          <m:t>β</m:t>
        </m:r>
      </m:oMath>
      <w:r>
        <w:rPr>
          <w:rFonts w:ascii="Times New Roman" w:hAnsi="Times New Roman"/>
          <w:sz w:val="24"/>
          <w:szCs w:val="24"/>
          <w:lang w:eastAsia="en-US"/>
        </w:rPr>
        <w:t xml:space="preserve"> – Бета коэффициент, рассчитанный по изменениям цен (значений) рыночного индикатора и изменениям цены ценной бумаги. Для расчета коэффициента </w:t>
      </w:r>
      <m:oMath>
        <m:r>
          <m:rPr>
            <m:sty m:val="p"/>
          </m:rPr>
          <w:rPr>
            <w:rFonts w:ascii="Cambria Math" w:hAnsi="Cambria Math"/>
            <w:sz w:val="24"/>
            <w:szCs w:val="24"/>
            <w:lang w:eastAsia="en-US"/>
          </w:rPr>
          <m:t>β</m:t>
        </m:r>
      </m:oMath>
      <w:r>
        <w:rPr>
          <w:rFonts w:ascii="Times New Roman" w:hAnsi="Times New Roman"/>
          <w:sz w:val="24"/>
          <w:szCs w:val="24"/>
          <w:lang w:eastAsia="en-US"/>
        </w:rPr>
        <w:t xml:space="preserve"> используются значения, определенные за последние 45 торговых дней, предшествующих дате определения справедливой стоимости;</w:t>
      </w:r>
    </w:p>
    <w:p w14:paraId="5214EA5E" w14:textId="77777777" w:rsidR="000C1E0E" w:rsidRDefault="00C74876" w:rsidP="000C1E0E">
      <w:pPr>
        <w:spacing w:line="360" w:lineRule="auto"/>
        <w:rPr>
          <w:rFonts w:ascii="Times New Roman" w:hAnsi="Times New Roman"/>
          <w:sz w:val="24"/>
          <w:szCs w:val="24"/>
          <w:lang w:eastAsia="en-US"/>
        </w:rPr>
      </w:pPr>
      <m:oMath>
        <m:sSub>
          <m:sSubPr>
            <m:ctrlPr>
              <w:rPr>
                <w:rFonts w:ascii="Cambria Math" w:hAnsi="Cambria Math"/>
                <w:sz w:val="24"/>
                <w:szCs w:val="24"/>
                <w:lang w:eastAsia="en-US"/>
              </w:rPr>
            </m:ctrlPr>
          </m:sSubPr>
          <m:e>
            <m:r>
              <m:rPr>
                <m:sty m:val="p"/>
              </m:rPr>
              <w:rPr>
                <w:rFonts w:ascii="Cambria Math" w:hAnsi="Times New Roman"/>
                <w:sz w:val="24"/>
                <w:szCs w:val="24"/>
                <w:lang w:eastAsia="en-US"/>
              </w:rPr>
              <m:t>R</m:t>
            </m:r>
          </m:e>
          <m:sub>
            <m:r>
              <m:rPr>
                <m:sty m:val="p"/>
              </m:rPr>
              <w:rPr>
                <w:rFonts w:ascii="Cambria Math" w:hAnsi="Times New Roman"/>
                <w:sz w:val="24"/>
                <w:szCs w:val="24"/>
                <w:lang w:eastAsia="en-US"/>
              </w:rPr>
              <m:t>m</m:t>
            </m:r>
          </m:sub>
        </m:sSub>
      </m:oMath>
      <w:r w:rsidR="000C1E0E">
        <w:rPr>
          <w:rFonts w:ascii="Times New Roman" w:hAnsi="Times New Roman"/>
          <w:sz w:val="24"/>
          <w:szCs w:val="24"/>
          <w:lang w:eastAsia="en-US"/>
        </w:rPr>
        <w:t xml:space="preserve"> - доходность рыночного индикатора;</w:t>
      </w:r>
    </w:p>
    <w:p w14:paraId="076FEFBE" w14:textId="77777777" w:rsidR="000C1E0E" w:rsidRDefault="00C74876" w:rsidP="000C1E0E">
      <w:pPr>
        <w:spacing w:line="360" w:lineRule="auto"/>
        <w:rPr>
          <w:rFonts w:ascii="Times New Roman" w:hAnsi="Times New Roman"/>
          <w:sz w:val="24"/>
          <w:szCs w:val="24"/>
          <w:lang w:eastAsia="en-US"/>
        </w:rPr>
      </w:pPr>
      <m:oMath>
        <m:sSub>
          <m:sSubPr>
            <m:ctrlPr>
              <w:rPr>
                <w:rFonts w:ascii="Cambria Math" w:hAnsi="Cambria Math"/>
                <w:sz w:val="24"/>
                <w:szCs w:val="24"/>
                <w:lang w:eastAsia="en-US"/>
              </w:rPr>
            </m:ctrlPr>
          </m:sSubPr>
          <m:e>
            <m:r>
              <m:rPr>
                <m:sty m:val="p"/>
              </m:rPr>
              <w:rPr>
                <w:rFonts w:ascii="Cambria Math" w:hAnsi="Cambria Math"/>
                <w:sz w:val="24"/>
                <w:szCs w:val="24"/>
                <w:lang w:eastAsia="en-US"/>
              </w:rPr>
              <m:t>R</m:t>
            </m:r>
          </m:e>
          <m:sub>
            <m:r>
              <m:rPr>
                <m:sty m:val="p"/>
              </m:rPr>
              <w:rPr>
                <w:rFonts w:ascii="Cambria Math" w:hAnsi="Cambria Math"/>
                <w:sz w:val="24"/>
                <w:szCs w:val="24"/>
                <w:lang w:eastAsia="en-US"/>
              </w:rPr>
              <m:t>f</m:t>
            </m:r>
          </m:sub>
        </m:sSub>
      </m:oMath>
      <w:r w:rsidR="000C1E0E">
        <w:rPr>
          <w:rFonts w:ascii="Times New Roman" w:hAnsi="Times New Roman"/>
          <w:sz w:val="24"/>
          <w:szCs w:val="24"/>
          <w:lang w:eastAsia="en-US"/>
        </w:rPr>
        <w:t xml:space="preserve"> – Risk-free Rate – безрисковая ставка доходности;</w:t>
      </w:r>
    </w:p>
    <w:p w14:paraId="6C4D0C76" w14:textId="77777777" w:rsidR="000C1E0E" w:rsidRDefault="000C1E0E" w:rsidP="000C1E0E">
      <w:pPr>
        <w:spacing w:line="360" w:lineRule="auto"/>
        <w:rPr>
          <w:rFonts w:ascii="Times New Roman" w:hAnsi="Times New Roman"/>
          <w:sz w:val="24"/>
          <w:szCs w:val="24"/>
          <w:lang w:eastAsia="en-US"/>
        </w:rPr>
      </w:pPr>
      <w:r>
        <w:rPr>
          <w:rFonts w:ascii="Times New Roman" w:hAnsi="Times New Roman"/>
          <w:sz w:val="24"/>
          <w:szCs w:val="24"/>
          <w:lang w:eastAsia="en-US"/>
        </w:rPr>
        <w:t>Безрисковая ставка доходности определяется на дату определения справедливой стоимости. Безрисковая ставка доходности приводится к количеству календарных дней между датами ее расчета по формуле:</w:t>
      </w:r>
    </w:p>
    <w:p w14:paraId="62E3ECCC" w14:textId="77777777" w:rsidR="000C1E0E" w:rsidRDefault="00C74876" w:rsidP="000C1E0E">
      <w:pPr>
        <w:spacing w:after="200" w:line="360" w:lineRule="auto"/>
        <w:rPr>
          <w:rFonts w:ascii="Times New Roman" w:eastAsiaTheme="minorHAnsi" w:hAnsi="Times New Roman"/>
          <w:sz w:val="24"/>
          <w:szCs w:val="24"/>
          <w:lang w:eastAsia="en-US"/>
        </w:rPr>
      </w:pPr>
      <m:oMathPara>
        <m:oMath>
          <m:sSubSup>
            <m:sSubSupPr>
              <m:ctrlPr>
                <w:rPr>
                  <w:rFonts w:ascii="Cambria Math" w:hAnsi="Cambria Math"/>
                  <w:i/>
                  <w:sz w:val="24"/>
                  <w:szCs w:val="24"/>
                  <w:lang w:val="en-US" w:eastAsia="en-US"/>
                </w:rPr>
              </m:ctrlPr>
            </m:sSubSupPr>
            <m:e>
              <m:r>
                <w:rPr>
                  <w:rFonts w:ascii="Cambria Math" w:hAnsi="Cambria Math"/>
                  <w:sz w:val="24"/>
                  <w:szCs w:val="24"/>
                  <w:lang w:val="en-US" w:eastAsia="en-US"/>
                </w:rPr>
                <m:t>R</m:t>
              </m:r>
            </m:e>
            <m:sub>
              <m:r>
                <w:rPr>
                  <w:rFonts w:ascii="Cambria Math" w:hAnsi="Cambria Math"/>
                  <w:sz w:val="24"/>
                  <w:szCs w:val="24"/>
                  <w:lang w:val="en-US" w:eastAsia="en-US"/>
                </w:rPr>
                <m:t>f</m:t>
              </m:r>
            </m:sub>
            <m:sup>
              <m:r>
                <w:rPr>
                  <w:rFonts w:ascii="Cambria Math" w:hAnsi="Cambria Math"/>
                  <w:sz w:val="24"/>
                  <w:szCs w:val="24"/>
                  <w:lang w:val="en-US" w:eastAsia="en-US"/>
                </w:rPr>
                <m:t>'</m:t>
              </m:r>
            </m:sup>
          </m:sSubSup>
          <m:r>
            <w:rPr>
              <w:rFonts w:ascii="Cambria Math" w:hAnsi="Cambria Math"/>
              <w:sz w:val="24"/>
              <w:szCs w:val="24"/>
              <w:lang w:val="en-US" w:eastAsia="en-US"/>
            </w:rPr>
            <m:t xml:space="preserve">= </m:t>
          </m:r>
          <m:d>
            <m:dPr>
              <m:ctrlPr>
                <w:rPr>
                  <w:rFonts w:ascii="Cambria Math" w:eastAsiaTheme="minorHAnsi" w:hAnsi="Cambria Math"/>
                  <w:i/>
                  <w:sz w:val="24"/>
                  <w:szCs w:val="24"/>
                  <w:lang w:val="en-US" w:eastAsia="en-US"/>
                </w:rPr>
              </m:ctrlPr>
            </m:dPr>
            <m:e>
              <m:sSub>
                <m:sSubPr>
                  <m:ctrlPr>
                    <w:rPr>
                      <w:rFonts w:ascii="Cambria Math" w:eastAsiaTheme="minorHAnsi" w:hAnsi="Cambria Math"/>
                      <w:i/>
                      <w:sz w:val="24"/>
                      <w:szCs w:val="24"/>
                      <w:lang w:val="en-US" w:eastAsia="en-US"/>
                    </w:rPr>
                  </m:ctrlPr>
                </m:sSubPr>
                <m:e>
                  <m:r>
                    <w:rPr>
                      <w:rFonts w:ascii="Cambria Math" w:eastAsiaTheme="minorHAnsi" w:hAnsi="Cambria Math"/>
                      <w:sz w:val="24"/>
                      <w:szCs w:val="24"/>
                      <w:lang w:val="en-US" w:eastAsia="en-US"/>
                    </w:rPr>
                    <m:t>R</m:t>
                  </m:r>
                </m:e>
                <m:sub>
                  <m:r>
                    <w:rPr>
                      <w:rFonts w:ascii="Cambria Math" w:eastAsiaTheme="minorHAnsi" w:hAnsi="Cambria Math"/>
                      <w:sz w:val="24"/>
                      <w:szCs w:val="24"/>
                      <w:lang w:val="en-US" w:eastAsia="en-US"/>
                    </w:rPr>
                    <m:t>f</m:t>
                  </m:r>
                </m:sub>
              </m:sSub>
              <m:r>
                <w:rPr>
                  <w:rFonts w:ascii="Cambria Math" w:eastAsiaTheme="minorHAnsi" w:hAnsi="Cambria Math"/>
                  <w:sz w:val="24"/>
                  <w:szCs w:val="24"/>
                  <w:lang w:val="en-US" w:eastAsia="en-US"/>
                </w:rPr>
                <m:t>/365</m:t>
              </m:r>
            </m:e>
          </m:d>
          <m:r>
            <w:rPr>
              <w:rFonts w:ascii="Cambria Math" w:eastAsiaTheme="minorHAnsi" w:hAnsi="Cambria Math"/>
              <w:sz w:val="24"/>
              <w:szCs w:val="24"/>
              <w:lang w:val="en-US" w:eastAsia="en-US"/>
            </w:rPr>
            <m:t>×</m:t>
          </m:r>
          <m:d>
            <m:dPr>
              <m:ctrlPr>
                <w:rPr>
                  <w:rFonts w:ascii="Cambria Math" w:eastAsiaTheme="minorHAnsi" w:hAnsi="Cambria Math"/>
                  <w:i/>
                  <w:sz w:val="24"/>
                  <w:szCs w:val="24"/>
                  <w:lang w:val="en-US" w:eastAsia="en-US"/>
                </w:rPr>
              </m:ctrlPr>
            </m:dPr>
            <m:e>
              <m:sSub>
                <m:sSubPr>
                  <m:ctrlPr>
                    <w:rPr>
                      <w:rFonts w:ascii="Cambria Math" w:eastAsiaTheme="minorHAnsi" w:hAnsi="Cambria Math"/>
                      <w:i/>
                      <w:sz w:val="24"/>
                      <w:szCs w:val="24"/>
                      <w:lang w:val="en-US" w:eastAsia="en-US"/>
                    </w:rPr>
                  </m:ctrlPr>
                </m:sSubPr>
                <m:e>
                  <m:r>
                    <w:rPr>
                      <w:rFonts w:ascii="Cambria Math" w:eastAsiaTheme="minorHAnsi" w:hAnsi="Cambria Math"/>
                      <w:sz w:val="24"/>
                      <w:szCs w:val="24"/>
                      <w:lang w:val="en-US" w:eastAsia="en-US"/>
                    </w:rPr>
                    <m:t>T</m:t>
                  </m:r>
                </m:e>
                <m:sub>
                  <m:r>
                    <w:rPr>
                      <w:rFonts w:ascii="Cambria Math" w:eastAsiaTheme="minorHAnsi" w:hAnsi="Cambria Math"/>
                      <w:sz w:val="24"/>
                      <w:szCs w:val="24"/>
                      <w:lang w:val="en-US" w:eastAsia="en-US"/>
                    </w:rPr>
                    <m:t>1</m:t>
                  </m:r>
                </m:sub>
              </m:sSub>
              <m:r>
                <w:rPr>
                  <w:rFonts w:ascii="Cambria Math" w:eastAsiaTheme="minorHAnsi" w:hAnsi="Cambria Math"/>
                  <w:sz w:val="24"/>
                  <w:szCs w:val="24"/>
                  <w:lang w:val="en-US" w:eastAsia="en-US"/>
                </w:rPr>
                <m:t>-</m:t>
              </m:r>
              <m:sSub>
                <m:sSubPr>
                  <m:ctrlPr>
                    <w:rPr>
                      <w:rFonts w:ascii="Cambria Math" w:eastAsiaTheme="minorHAnsi" w:hAnsi="Cambria Math"/>
                      <w:i/>
                      <w:sz w:val="24"/>
                      <w:szCs w:val="24"/>
                      <w:lang w:val="en-US" w:eastAsia="en-US"/>
                    </w:rPr>
                  </m:ctrlPr>
                </m:sSubPr>
                <m:e>
                  <m:r>
                    <w:rPr>
                      <w:rFonts w:ascii="Cambria Math" w:eastAsiaTheme="minorHAnsi" w:hAnsi="Cambria Math"/>
                      <w:sz w:val="24"/>
                      <w:szCs w:val="24"/>
                      <w:lang w:val="en-US" w:eastAsia="en-US"/>
                    </w:rPr>
                    <m:t>T</m:t>
                  </m:r>
                </m:e>
                <m:sub>
                  <m:r>
                    <w:rPr>
                      <w:rFonts w:ascii="Cambria Math" w:eastAsiaTheme="minorHAnsi" w:hAnsi="Cambria Math"/>
                      <w:sz w:val="24"/>
                      <w:szCs w:val="24"/>
                      <w:lang w:val="en-US" w:eastAsia="en-US"/>
                    </w:rPr>
                    <m:t>0</m:t>
                  </m:r>
                </m:sub>
              </m:sSub>
            </m:e>
          </m:d>
        </m:oMath>
      </m:oMathPara>
    </w:p>
    <w:p w14:paraId="5D003788" w14:textId="77777777" w:rsidR="000C1E0E" w:rsidRDefault="000C1E0E" w:rsidP="000C1E0E">
      <w:pPr>
        <w:spacing w:line="360" w:lineRule="auto"/>
        <w:rPr>
          <w:rFonts w:ascii="Times New Roman" w:hAnsi="Times New Roman"/>
          <w:sz w:val="24"/>
          <w:szCs w:val="24"/>
          <w:lang w:eastAsia="en-US"/>
        </w:rPr>
      </w:pPr>
      <w:r>
        <w:rPr>
          <w:rFonts w:ascii="Times New Roman" w:hAnsi="Times New Roman"/>
          <w:sz w:val="24"/>
          <w:szCs w:val="24"/>
          <w:lang w:eastAsia="en-US"/>
        </w:rPr>
        <w:t>где:</w:t>
      </w:r>
      <w:r>
        <w:rPr>
          <w:rFonts w:ascii="Times New Roman" w:hAnsi="Times New Roman"/>
          <w:sz w:val="24"/>
          <w:szCs w:val="24"/>
          <w:lang w:eastAsia="en-US"/>
        </w:rPr>
        <w:br/>
        <w:t xml:space="preserve">где </w:t>
      </w:r>
      <m:oMath>
        <m:d>
          <m:dPr>
            <m:ctrlPr>
              <w:rPr>
                <w:rFonts w:ascii="Cambria Math" w:hAnsi="Cambria Math"/>
                <w:sz w:val="24"/>
                <w:szCs w:val="24"/>
                <w:lang w:eastAsia="en-US"/>
              </w:rPr>
            </m:ctrlPr>
          </m:dPr>
          <m:e>
            <m:sSub>
              <m:sSubPr>
                <m:ctrlPr>
                  <w:rPr>
                    <w:rFonts w:ascii="Cambria Math" w:hAnsi="Cambria Math"/>
                    <w:sz w:val="24"/>
                    <w:szCs w:val="24"/>
                    <w:lang w:eastAsia="en-US"/>
                  </w:rPr>
                </m:ctrlPr>
              </m:sSubPr>
              <m:e>
                <m:r>
                  <m:rPr>
                    <m:sty m:val="p"/>
                  </m:rPr>
                  <w:rPr>
                    <w:rFonts w:ascii="Cambria Math" w:hAnsi="Times New Roman"/>
                    <w:sz w:val="24"/>
                    <w:szCs w:val="24"/>
                    <w:lang w:eastAsia="en-US"/>
                  </w:rPr>
                  <m:t>T</m:t>
                </m:r>
              </m:e>
              <m:sub>
                <m:r>
                  <m:rPr>
                    <m:sty m:val="p"/>
                  </m:rPr>
                  <w:rPr>
                    <w:rFonts w:ascii="Cambria Math" w:hAnsi="Times New Roman"/>
                    <w:sz w:val="24"/>
                    <w:szCs w:val="24"/>
                    <w:lang w:eastAsia="en-US"/>
                  </w:rPr>
                  <m:t>1</m:t>
                </m:r>
              </m:sub>
            </m:sSub>
            <m:r>
              <m:rPr>
                <m:sty m:val="p"/>
              </m:rPr>
              <w:rPr>
                <w:rFonts w:ascii="Cambria Math" w:hAnsi="Cambria Math"/>
                <w:sz w:val="24"/>
                <w:szCs w:val="24"/>
                <w:lang w:eastAsia="en-US"/>
              </w:rPr>
              <m:t>-</m:t>
            </m:r>
            <m:sSub>
              <m:sSubPr>
                <m:ctrlPr>
                  <w:rPr>
                    <w:rFonts w:ascii="Cambria Math" w:hAnsi="Cambria Math"/>
                    <w:sz w:val="24"/>
                    <w:szCs w:val="24"/>
                    <w:lang w:eastAsia="en-US"/>
                  </w:rPr>
                </m:ctrlPr>
              </m:sSubPr>
              <m:e>
                <m:r>
                  <m:rPr>
                    <m:sty m:val="p"/>
                  </m:rPr>
                  <w:rPr>
                    <w:rFonts w:ascii="Cambria Math" w:hAnsi="Times New Roman"/>
                    <w:sz w:val="24"/>
                    <w:szCs w:val="24"/>
                    <w:lang w:eastAsia="en-US"/>
                  </w:rPr>
                  <m:t>T</m:t>
                </m:r>
              </m:e>
              <m:sub>
                <m:r>
                  <m:rPr>
                    <m:sty m:val="p"/>
                  </m:rPr>
                  <w:rPr>
                    <w:rFonts w:ascii="Cambria Math" w:hAnsi="Times New Roman"/>
                    <w:sz w:val="24"/>
                    <w:szCs w:val="24"/>
                    <w:lang w:eastAsia="en-US"/>
                  </w:rPr>
                  <m:t>0</m:t>
                </m:r>
              </m:sub>
            </m:sSub>
          </m:e>
        </m:d>
      </m:oMath>
      <w:r>
        <w:rPr>
          <w:rFonts w:ascii="Times New Roman" w:hAnsi="Times New Roman"/>
          <w:sz w:val="24"/>
          <w:szCs w:val="24"/>
          <w:lang w:eastAsia="en-US"/>
        </w:rPr>
        <w:t xml:space="preserve"> - количество календарных дней между указанными датами.</w:t>
      </w:r>
    </w:p>
    <w:p w14:paraId="6C5F4C0C" w14:textId="77777777" w:rsidR="000C1E0E" w:rsidRDefault="00C74876" w:rsidP="000C1E0E">
      <w:pPr>
        <w:spacing w:line="360" w:lineRule="auto"/>
        <w:rPr>
          <w:rFonts w:ascii="Times New Roman" w:hAnsi="Times New Roman"/>
          <w:sz w:val="24"/>
          <w:szCs w:val="24"/>
          <w:lang w:eastAsia="en-US"/>
        </w:rPr>
      </w:pPr>
      <m:oMath>
        <m:sSub>
          <m:sSubPr>
            <m:ctrlPr>
              <w:rPr>
                <w:rFonts w:ascii="Cambria Math" w:hAnsi="Cambria Math"/>
                <w:sz w:val="24"/>
                <w:szCs w:val="24"/>
                <w:lang w:eastAsia="en-US"/>
              </w:rPr>
            </m:ctrlPr>
          </m:sSubPr>
          <m:e>
            <m:r>
              <m:rPr>
                <m:sty m:val="p"/>
              </m:rPr>
              <w:rPr>
                <w:rFonts w:ascii="Cambria Math" w:hAnsi="Times New Roman"/>
                <w:sz w:val="24"/>
                <w:szCs w:val="24"/>
                <w:lang w:eastAsia="en-US"/>
              </w:rPr>
              <m:t>T</m:t>
            </m:r>
          </m:e>
          <m:sub>
            <m:r>
              <m:rPr>
                <m:sty m:val="p"/>
              </m:rPr>
              <w:rPr>
                <w:rFonts w:ascii="Cambria Math" w:hAnsi="Times New Roman"/>
                <w:sz w:val="24"/>
                <w:szCs w:val="24"/>
                <w:lang w:eastAsia="en-US"/>
              </w:rPr>
              <m:t>1</m:t>
            </m:r>
          </m:sub>
        </m:sSub>
      </m:oMath>
      <w:r w:rsidR="000C1E0E">
        <w:rPr>
          <w:rFonts w:ascii="Times New Roman" w:hAnsi="Times New Roman"/>
          <w:sz w:val="24"/>
          <w:szCs w:val="24"/>
          <w:lang w:eastAsia="en-US"/>
        </w:rPr>
        <w:t xml:space="preserve"> –дата определения справедливой стоимости;</w:t>
      </w:r>
    </w:p>
    <w:p w14:paraId="1EF55AED" w14:textId="77777777" w:rsidR="000C1E0E" w:rsidRDefault="00C74876" w:rsidP="000C1E0E">
      <w:pPr>
        <w:spacing w:line="360" w:lineRule="auto"/>
        <w:rPr>
          <w:rFonts w:ascii="Times New Roman" w:hAnsi="Times New Roman"/>
          <w:sz w:val="24"/>
          <w:szCs w:val="24"/>
          <w:lang w:eastAsia="en-US"/>
        </w:rPr>
      </w:pPr>
      <m:oMath>
        <m:sSub>
          <m:sSubPr>
            <m:ctrlPr>
              <w:rPr>
                <w:rFonts w:ascii="Cambria Math" w:hAnsi="Cambria Math"/>
                <w:sz w:val="24"/>
                <w:szCs w:val="24"/>
                <w:lang w:eastAsia="en-US"/>
              </w:rPr>
            </m:ctrlPr>
          </m:sSubPr>
          <m:e>
            <m:r>
              <m:rPr>
                <m:sty m:val="p"/>
              </m:rPr>
              <w:rPr>
                <w:rFonts w:ascii="Cambria Math" w:hAnsi="Times New Roman"/>
                <w:sz w:val="24"/>
                <w:szCs w:val="24"/>
                <w:lang w:eastAsia="en-US"/>
              </w:rPr>
              <m:t>T</m:t>
            </m:r>
          </m:e>
          <m:sub>
            <m:r>
              <m:rPr>
                <m:sty m:val="p"/>
              </m:rPr>
              <w:rPr>
                <w:rFonts w:ascii="Cambria Math" w:hAnsi="Times New Roman"/>
                <w:sz w:val="24"/>
                <w:szCs w:val="24"/>
                <w:lang w:eastAsia="en-US"/>
              </w:rPr>
              <m:t>0</m:t>
            </m:r>
          </m:sub>
        </m:sSub>
      </m:oMath>
      <w:r w:rsidR="000C1E0E">
        <w:rPr>
          <w:rFonts w:ascii="Times New Roman" w:hAnsi="Times New Roman"/>
          <w:sz w:val="24"/>
          <w:szCs w:val="24"/>
          <w:lang w:eastAsia="en-US"/>
        </w:rPr>
        <w:t xml:space="preserve"> – предыдущая дата определения справедливой стоимости.</w:t>
      </w:r>
    </w:p>
    <w:p w14:paraId="45AE0599" w14:textId="77777777" w:rsidR="000C1E0E" w:rsidRDefault="000C1E0E" w:rsidP="000C1E0E">
      <w:pPr>
        <w:spacing w:line="276" w:lineRule="auto"/>
        <w:ind w:firstLine="708"/>
        <w:rPr>
          <w:rFonts w:ascii="Times New Roman" w:hAnsi="Times New Roman"/>
          <w:sz w:val="24"/>
          <w:szCs w:val="24"/>
          <w:lang w:eastAsia="en-US"/>
        </w:rPr>
      </w:pPr>
      <w:r>
        <w:rPr>
          <w:rFonts w:ascii="Times New Roman" w:hAnsi="Times New Roman"/>
          <w:sz w:val="24"/>
          <w:szCs w:val="24"/>
          <w:lang w:eastAsia="en-US"/>
        </w:rPr>
        <w:t>Для облигаций российских эмитентов, торгуемых на Московской Бирже, безрисковая ставка доходности – ставка, определенная в</w:t>
      </w:r>
      <w:r>
        <w:rPr>
          <w:rFonts w:ascii="Cambria Math" w:hAnsi="Cambria Math"/>
          <w:sz w:val="20"/>
          <w:lang w:eastAsia="en-US"/>
        </w:rPr>
        <w:t xml:space="preserve"> </w:t>
      </w:r>
      <w:r>
        <w:rPr>
          <w:rFonts w:ascii="Times New Roman" w:hAnsi="Times New Roman"/>
          <w:sz w:val="24"/>
          <w:szCs w:val="24"/>
          <w:lang w:eastAsia="en-US"/>
        </w:rPr>
        <w:t>соответствии со значением кривой бескупонной доходности (ставка КБД) государственных ценных бумаг на интервале в один год. В расчете используются:</w:t>
      </w:r>
    </w:p>
    <w:p w14:paraId="40198DB5" w14:textId="77777777" w:rsidR="000C1E0E" w:rsidRDefault="000C1E0E" w:rsidP="000C1E0E">
      <w:pPr>
        <w:numPr>
          <w:ilvl w:val="0"/>
          <w:numId w:val="12"/>
        </w:numPr>
        <w:spacing w:after="200" w:line="276" w:lineRule="auto"/>
        <w:contextualSpacing/>
        <w:rPr>
          <w:rFonts w:ascii="Times New Roman" w:hAnsi="Times New Roman"/>
          <w:sz w:val="24"/>
          <w:szCs w:val="24"/>
          <w:lang w:eastAsia="en-US"/>
        </w:rPr>
      </w:pPr>
      <w:r>
        <w:rPr>
          <w:rFonts w:ascii="Times New Roman" w:hAnsi="Times New Roman"/>
          <w:sz w:val="24"/>
          <w:szCs w:val="24"/>
          <w:lang w:eastAsia="en-US"/>
        </w:rPr>
        <w:t>методика расчёта кривой бескупонной доходности государственных облигаций, определенная Московской биржей;</w:t>
      </w:r>
    </w:p>
    <w:p w14:paraId="2F5E2B67" w14:textId="77777777" w:rsidR="000C1E0E" w:rsidRDefault="000C1E0E" w:rsidP="000C1E0E">
      <w:pPr>
        <w:numPr>
          <w:ilvl w:val="0"/>
          <w:numId w:val="12"/>
        </w:numPr>
        <w:spacing w:after="200" w:line="276" w:lineRule="auto"/>
        <w:contextualSpacing/>
        <w:rPr>
          <w:rFonts w:ascii="Times New Roman" w:hAnsi="Times New Roman"/>
          <w:sz w:val="24"/>
          <w:szCs w:val="24"/>
          <w:lang w:eastAsia="en-US"/>
        </w:rPr>
      </w:pPr>
      <w:r>
        <w:rPr>
          <w:rFonts w:ascii="Times New Roman" w:hAnsi="Times New Roman"/>
          <w:sz w:val="24"/>
          <w:szCs w:val="24"/>
          <w:lang w:eastAsia="en-US"/>
        </w:rPr>
        <w:t>динамические параметры G-кривой по состоянию на каждый торговый день, публикуемые на официальном сайте Московской биржи.</w:t>
      </w:r>
    </w:p>
    <w:p w14:paraId="4AB3CF4E" w14:textId="77777777" w:rsidR="000C1E0E" w:rsidRDefault="000C1E0E" w:rsidP="000C1E0E">
      <w:pPr>
        <w:spacing w:line="360" w:lineRule="auto"/>
        <w:rPr>
          <w:rFonts w:ascii="Times New Roman" w:hAnsi="Times New Roman"/>
          <w:sz w:val="24"/>
          <w:szCs w:val="24"/>
          <w:lang w:eastAsia="en-US"/>
        </w:rPr>
      </w:pPr>
      <w:r>
        <w:rPr>
          <w:rFonts w:ascii="Times New Roman" w:hAnsi="Times New Roman"/>
          <w:sz w:val="24"/>
          <w:szCs w:val="24"/>
          <w:lang w:eastAsia="en-US"/>
        </w:rPr>
        <w:t>Ставка КБД рассчитывается без промежуточных округлений с точностью до 2 знаков после запятой (в процентном выражении).</w:t>
      </w:r>
      <w:r>
        <w:rPr>
          <w:rFonts w:ascii="Times New Roman" w:hAnsi="Times New Roman"/>
          <w:sz w:val="24"/>
          <w:szCs w:val="24"/>
          <w:lang w:eastAsia="en-US"/>
        </w:rPr>
        <w:br/>
      </w:r>
    </w:p>
    <w:p w14:paraId="6F24C8B6" w14:textId="77777777" w:rsidR="000C1E0E" w:rsidRDefault="000C1E0E" w:rsidP="000C1E0E">
      <w:pPr>
        <w:spacing w:line="360" w:lineRule="auto"/>
        <w:rPr>
          <w:rFonts w:ascii="Times New Roman" w:hAnsi="Times New Roman"/>
          <w:sz w:val="24"/>
          <w:szCs w:val="24"/>
          <w:lang w:eastAsia="en-US"/>
        </w:rPr>
      </w:pPr>
      <w:r>
        <w:rPr>
          <w:rFonts w:ascii="Times New Roman" w:hAnsi="Times New Roman"/>
          <w:sz w:val="24"/>
          <w:szCs w:val="24"/>
          <w:lang w:eastAsia="en-US"/>
        </w:rPr>
        <w:t>Бета коэффициент - β</w:t>
      </w:r>
    </w:p>
    <w:p w14:paraId="7134E51A" w14:textId="77777777" w:rsidR="000C1E0E" w:rsidRDefault="000C1E0E" w:rsidP="000C1E0E">
      <w:pPr>
        <w:spacing w:line="360" w:lineRule="auto"/>
        <w:rPr>
          <w:rFonts w:ascii="Times New Roman" w:hAnsi="Times New Roman"/>
          <w:sz w:val="24"/>
          <w:szCs w:val="24"/>
          <w:lang w:eastAsia="en-US"/>
        </w:rPr>
      </w:pPr>
      <m:oMathPara>
        <m:oMath>
          <m:r>
            <m:rPr>
              <m:sty m:val="p"/>
            </m:rPr>
            <w:rPr>
              <w:rFonts w:ascii="Cambria Math" w:hAnsi="Cambria Math"/>
              <w:sz w:val="24"/>
              <w:szCs w:val="24"/>
              <w:lang w:eastAsia="en-US"/>
            </w:rPr>
            <m:t>β</m:t>
          </m:r>
          <m:r>
            <m:rPr>
              <m:sty m:val="p"/>
            </m:rPr>
            <w:rPr>
              <w:rFonts w:ascii="Cambria Math" w:hAnsi="Times New Roman"/>
              <w:sz w:val="24"/>
              <w:szCs w:val="24"/>
              <w:lang w:eastAsia="en-US"/>
            </w:rPr>
            <m:t>=</m:t>
          </m:r>
          <m:f>
            <m:fPr>
              <m:ctrlPr>
                <w:rPr>
                  <w:rFonts w:ascii="Cambria Math" w:hAnsi="Cambria Math"/>
                  <w:sz w:val="24"/>
                  <w:szCs w:val="24"/>
                  <w:lang w:eastAsia="en-US"/>
                </w:rPr>
              </m:ctrlPr>
            </m:fPr>
            <m:num>
              <m:r>
                <m:rPr>
                  <m:sty m:val="p"/>
                </m:rPr>
                <w:rPr>
                  <w:rFonts w:ascii="Cambria Math" w:hAnsi="Times New Roman"/>
                  <w:sz w:val="24"/>
                  <w:szCs w:val="24"/>
                  <w:lang w:eastAsia="en-US"/>
                </w:rPr>
                <m:t xml:space="preserve">Covariance </m:t>
              </m:r>
              <m:d>
                <m:dPr>
                  <m:ctrlPr>
                    <w:rPr>
                      <w:rFonts w:ascii="Cambria Math" w:hAnsi="Cambria Math"/>
                      <w:sz w:val="24"/>
                      <w:szCs w:val="24"/>
                      <w:lang w:eastAsia="en-US"/>
                    </w:rPr>
                  </m:ctrlPr>
                </m:dPr>
                <m:e>
                  <m:sSub>
                    <m:sSubPr>
                      <m:ctrlPr>
                        <w:rPr>
                          <w:rFonts w:ascii="Cambria Math" w:hAnsi="Cambria Math"/>
                          <w:sz w:val="24"/>
                          <w:szCs w:val="24"/>
                          <w:lang w:eastAsia="en-US"/>
                        </w:rPr>
                      </m:ctrlPr>
                    </m:sSubPr>
                    <m:e>
                      <m:r>
                        <m:rPr>
                          <m:sty m:val="p"/>
                        </m:rPr>
                        <w:rPr>
                          <w:rFonts w:ascii="Cambria Math" w:hAnsi="Times New Roman"/>
                          <w:sz w:val="24"/>
                          <w:szCs w:val="24"/>
                          <w:lang w:eastAsia="en-US"/>
                        </w:rPr>
                        <m:t>R</m:t>
                      </m:r>
                    </m:e>
                    <m:sub>
                      <m:r>
                        <m:rPr>
                          <m:sty m:val="p"/>
                        </m:rPr>
                        <w:rPr>
                          <w:rFonts w:ascii="Cambria Math" w:hAnsi="Times New Roman"/>
                          <w:sz w:val="24"/>
                          <w:szCs w:val="24"/>
                          <w:lang w:eastAsia="en-US"/>
                        </w:rPr>
                        <m:t>a</m:t>
                      </m:r>
                    </m:sub>
                  </m:sSub>
                  <m:r>
                    <m:rPr>
                      <m:sty m:val="p"/>
                    </m:rPr>
                    <w:rPr>
                      <w:rFonts w:ascii="Cambria Math" w:hAnsi="Times New Roman"/>
                      <w:sz w:val="24"/>
                      <w:szCs w:val="24"/>
                      <w:lang w:eastAsia="en-US"/>
                    </w:rPr>
                    <m:t xml:space="preserve">, </m:t>
                  </m:r>
                  <m:sSub>
                    <m:sSubPr>
                      <m:ctrlPr>
                        <w:rPr>
                          <w:rFonts w:ascii="Cambria Math" w:hAnsi="Cambria Math"/>
                          <w:sz w:val="24"/>
                          <w:szCs w:val="24"/>
                          <w:lang w:eastAsia="en-US"/>
                        </w:rPr>
                      </m:ctrlPr>
                    </m:sSubPr>
                    <m:e>
                      <m:r>
                        <m:rPr>
                          <m:sty m:val="p"/>
                        </m:rPr>
                        <w:rPr>
                          <w:rFonts w:ascii="Cambria Math" w:hAnsi="Times New Roman"/>
                          <w:sz w:val="24"/>
                          <w:szCs w:val="24"/>
                          <w:lang w:eastAsia="en-US"/>
                        </w:rPr>
                        <m:t>R</m:t>
                      </m:r>
                    </m:e>
                    <m:sub>
                      <m:r>
                        <m:rPr>
                          <m:sty m:val="p"/>
                        </m:rPr>
                        <w:rPr>
                          <w:rFonts w:ascii="Cambria Math" w:hAnsi="Times New Roman"/>
                          <w:sz w:val="24"/>
                          <w:szCs w:val="24"/>
                          <w:lang w:eastAsia="en-US"/>
                        </w:rPr>
                        <m:t>m</m:t>
                      </m:r>
                    </m:sub>
                  </m:sSub>
                </m:e>
              </m:d>
            </m:num>
            <m:den>
              <m:r>
                <m:rPr>
                  <m:sty m:val="p"/>
                </m:rPr>
                <w:rPr>
                  <w:rFonts w:ascii="Cambria Math" w:hAnsi="Times New Roman"/>
                  <w:sz w:val="24"/>
                  <w:szCs w:val="24"/>
                  <w:lang w:eastAsia="en-US"/>
                </w:rPr>
                <m:t xml:space="preserve">Variance </m:t>
              </m:r>
              <m:d>
                <m:dPr>
                  <m:ctrlPr>
                    <w:rPr>
                      <w:rFonts w:ascii="Cambria Math" w:hAnsi="Cambria Math"/>
                      <w:sz w:val="24"/>
                      <w:szCs w:val="24"/>
                      <w:lang w:eastAsia="en-US"/>
                    </w:rPr>
                  </m:ctrlPr>
                </m:dPr>
                <m:e>
                  <m:sSub>
                    <m:sSubPr>
                      <m:ctrlPr>
                        <w:rPr>
                          <w:rFonts w:ascii="Cambria Math" w:hAnsi="Cambria Math"/>
                          <w:sz w:val="24"/>
                          <w:szCs w:val="24"/>
                          <w:lang w:eastAsia="en-US"/>
                        </w:rPr>
                      </m:ctrlPr>
                    </m:sSubPr>
                    <m:e>
                      <m:r>
                        <m:rPr>
                          <m:sty m:val="p"/>
                        </m:rPr>
                        <w:rPr>
                          <w:rFonts w:ascii="Cambria Math" w:hAnsi="Times New Roman"/>
                          <w:sz w:val="24"/>
                          <w:szCs w:val="24"/>
                          <w:lang w:eastAsia="en-US"/>
                        </w:rPr>
                        <m:t>R</m:t>
                      </m:r>
                    </m:e>
                    <m:sub>
                      <m:r>
                        <m:rPr>
                          <m:sty m:val="p"/>
                        </m:rPr>
                        <w:rPr>
                          <w:rFonts w:ascii="Cambria Math" w:hAnsi="Times New Roman"/>
                          <w:sz w:val="24"/>
                          <w:szCs w:val="24"/>
                          <w:lang w:eastAsia="en-US"/>
                        </w:rPr>
                        <m:t>m</m:t>
                      </m:r>
                    </m:sub>
                  </m:sSub>
                </m:e>
              </m:d>
            </m:den>
          </m:f>
        </m:oMath>
      </m:oMathPara>
    </w:p>
    <w:p w14:paraId="1546015F" w14:textId="77777777" w:rsidR="000C1E0E" w:rsidRDefault="000C1E0E" w:rsidP="000C1E0E">
      <w:pPr>
        <w:spacing w:line="360" w:lineRule="auto"/>
        <w:rPr>
          <w:rFonts w:ascii="Times New Roman" w:hAnsi="Times New Roman"/>
          <w:sz w:val="24"/>
          <w:szCs w:val="24"/>
          <w:lang w:eastAsia="en-US"/>
        </w:rPr>
      </w:pPr>
    </w:p>
    <w:p w14:paraId="39AF54C8" w14:textId="77777777" w:rsidR="000C1E0E" w:rsidRDefault="00C74876" w:rsidP="000C1E0E">
      <w:pPr>
        <w:spacing w:line="360" w:lineRule="auto"/>
        <w:rPr>
          <w:rFonts w:ascii="Times New Roman" w:hAnsi="Times New Roman"/>
          <w:sz w:val="24"/>
          <w:szCs w:val="24"/>
          <w:lang w:eastAsia="en-US"/>
        </w:rPr>
      </w:pPr>
      <m:oMathPara>
        <m:oMath>
          <m:sSub>
            <m:sSubPr>
              <m:ctrlPr>
                <w:rPr>
                  <w:rFonts w:ascii="Cambria Math" w:hAnsi="Cambria Math"/>
                  <w:sz w:val="24"/>
                  <w:szCs w:val="24"/>
                  <w:lang w:eastAsia="en-US"/>
                </w:rPr>
              </m:ctrlPr>
            </m:sSubPr>
            <m:e>
              <m:sSub>
                <m:sSubPr>
                  <m:ctrlPr>
                    <w:rPr>
                      <w:rFonts w:ascii="Cambria Math" w:hAnsi="Cambria Math"/>
                      <w:sz w:val="24"/>
                      <w:szCs w:val="24"/>
                      <w:lang w:eastAsia="en-US"/>
                    </w:rPr>
                  </m:ctrlPr>
                </m:sSubPr>
                <m:e>
                  <m:r>
                    <m:rPr>
                      <m:sty m:val="p"/>
                    </m:rPr>
                    <w:rPr>
                      <w:rFonts w:ascii="Cambria Math" w:hAnsi="Times New Roman"/>
                      <w:sz w:val="24"/>
                      <w:szCs w:val="24"/>
                      <w:lang w:eastAsia="en-US"/>
                    </w:rPr>
                    <m:t>R</m:t>
                  </m:r>
                </m:e>
                <m:sub>
                  <m:r>
                    <m:rPr>
                      <m:sty m:val="p"/>
                    </m:rPr>
                    <w:rPr>
                      <w:rFonts w:ascii="Cambria Math" w:hAnsi="Times New Roman"/>
                      <w:sz w:val="24"/>
                      <w:szCs w:val="24"/>
                      <w:lang w:eastAsia="en-US"/>
                    </w:rPr>
                    <m:t>a</m:t>
                  </m:r>
                </m:sub>
              </m:sSub>
              <m:r>
                <m:rPr>
                  <m:sty m:val="p"/>
                </m:rPr>
                <w:rPr>
                  <w:rFonts w:ascii="Cambria Math" w:hAnsi="Times New Roman"/>
                  <w:sz w:val="24"/>
                  <w:szCs w:val="24"/>
                  <w:lang w:eastAsia="en-US"/>
                </w:rPr>
                <m:t>=</m:t>
              </m:r>
              <m:f>
                <m:fPr>
                  <m:ctrlPr>
                    <w:rPr>
                      <w:rFonts w:ascii="Cambria Math" w:hAnsi="Cambria Math"/>
                      <w:sz w:val="24"/>
                      <w:szCs w:val="24"/>
                      <w:lang w:eastAsia="en-US"/>
                    </w:rPr>
                  </m:ctrlPr>
                </m:fPr>
                <m:num>
                  <m:sSub>
                    <m:sSubPr>
                      <m:ctrlPr>
                        <w:rPr>
                          <w:rFonts w:ascii="Cambria Math" w:hAnsi="Cambria Math"/>
                          <w:sz w:val="24"/>
                          <w:szCs w:val="24"/>
                          <w:lang w:eastAsia="en-US"/>
                        </w:rPr>
                      </m:ctrlPr>
                    </m:sSubPr>
                    <m:e>
                      <m:r>
                        <m:rPr>
                          <m:sty m:val="p"/>
                        </m:rPr>
                        <w:rPr>
                          <w:rFonts w:ascii="Cambria Math" w:hAnsi="Times New Roman"/>
                          <w:sz w:val="24"/>
                          <w:szCs w:val="24"/>
                          <w:lang w:eastAsia="en-US"/>
                        </w:rPr>
                        <m:t>Pa</m:t>
                      </m:r>
                    </m:e>
                    <m:sub>
                      <m:r>
                        <m:rPr>
                          <m:sty m:val="p"/>
                        </m:rPr>
                        <w:rPr>
                          <w:rFonts w:ascii="Cambria Math" w:hAnsi="Times New Roman"/>
                          <w:sz w:val="24"/>
                          <w:szCs w:val="24"/>
                          <w:lang w:eastAsia="en-US"/>
                        </w:rPr>
                        <m:t>i</m:t>
                      </m:r>
                    </m:sub>
                  </m:sSub>
                </m:num>
                <m:den>
                  <m:sSub>
                    <m:sSubPr>
                      <m:ctrlPr>
                        <w:rPr>
                          <w:rFonts w:ascii="Cambria Math" w:hAnsi="Cambria Math"/>
                          <w:sz w:val="24"/>
                          <w:szCs w:val="24"/>
                          <w:lang w:eastAsia="en-US"/>
                        </w:rPr>
                      </m:ctrlPr>
                    </m:sSubPr>
                    <m:e>
                      <m:r>
                        <m:rPr>
                          <m:sty m:val="p"/>
                        </m:rPr>
                        <w:rPr>
                          <w:rFonts w:ascii="Cambria Math" w:hAnsi="Times New Roman"/>
                          <w:sz w:val="24"/>
                          <w:szCs w:val="24"/>
                          <w:lang w:eastAsia="en-US"/>
                        </w:rPr>
                        <m:t>Pa</m:t>
                      </m:r>
                    </m:e>
                    <m:sub>
                      <m:r>
                        <m:rPr>
                          <m:sty m:val="p"/>
                        </m:rPr>
                        <w:rPr>
                          <w:rFonts w:ascii="Cambria Math" w:hAnsi="Times New Roman"/>
                          <w:sz w:val="24"/>
                          <w:szCs w:val="24"/>
                          <w:lang w:eastAsia="en-US"/>
                        </w:rPr>
                        <m:t>i</m:t>
                      </m:r>
                      <m:r>
                        <m:rPr>
                          <m:sty m:val="p"/>
                        </m:rPr>
                        <w:rPr>
                          <w:rFonts w:ascii="Cambria Math" w:hAnsi="Cambria Math"/>
                          <w:sz w:val="24"/>
                          <w:szCs w:val="24"/>
                          <w:lang w:eastAsia="en-US"/>
                        </w:rPr>
                        <m:t>-</m:t>
                      </m:r>
                      <m:r>
                        <m:rPr>
                          <m:sty m:val="p"/>
                        </m:rPr>
                        <w:rPr>
                          <w:rFonts w:ascii="Cambria Math" w:hAnsi="Times New Roman"/>
                          <w:sz w:val="24"/>
                          <w:szCs w:val="24"/>
                          <w:lang w:eastAsia="en-US"/>
                        </w:rPr>
                        <m:t>1</m:t>
                      </m:r>
                    </m:sub>
                  </m:sSub>
                </m:den>
              </m:f>
              <m:r>
                <m:rPr>
                  <m:sty m:val="p"/>
                </m:rPr>
                <w:rPr>
                  <w:rFonts w:ascii="Cambria Math" w:hAnsi="Cambria Math"/>
                  <w:sz w:val="24"/>
                  <w:szCs w:val="24"/>
                  <w:lang w:eastAsia="en-US"/>
                </w:rPr>
                <m:t>-</m:t>
              </m:r>
              <m:r>
                <m:rPr>
                  <m:sty m:val="p"/>
                </m:rPr>
                <w:rPr>
                  <w:rFonts w:ascii="Cambria Math" w:hAnsi="Times New Roman"/>
                  <w:sz w:val="24"/>
                  <w:szCs w:val="24"/>
                  <w:lang w:eastAsia="en-US"/>
                </w:rPr>
                <m:t>1,  R</m:t>
              </m:r>
            </m:e>
            <m:sub>
              <m:r>
                <m:rPr>
                  <m:sty m:val="p"/>
                </m:rPr>
                <w:rPr>
                  <w:rFonts w:ascii="Cambria Math" w:hAnsi="Times New Roman"/>
                  <w:sz w:val="24"/>
                  <w:szCs w:val="24"/>
                  <w:lang w:eastAsia="en-US"/>
                </w:rPr>
                <m:t>m</m:t>
              </m:r>
            </m:sub>
          </m:sSub>
          <m:r>
            <m:rPr>
              <m:sty m:val="p"/>
            </m:rPr>
            <w:rPr>
              <w:rFonts w:ascii="Cambria Math" w:hAnsi="Times New Roman"/>
              <w:sz w:val="24"/>
              <w:szCs w:val="24"/>
              <w:lang w:eastAsia="en-US"/>
            </w:rPr>
            <m:t>=</m:t>
          </m:r>
          <m:f>
            <m:fPr>
              <m:ctrlPr>
                <w:rPr>
                  <w:rFonts w:ascii="Cambria Math" w:hAnsi="Cambria Math"/>
                  <w:sz w:val="24"/>
                  <w:szCs w:val="24"/>
                  <w:lang w:eastAsia="en-US"/>
                </w:rPr>
              </m:ctrlPr>
            </m:fPr>
            <m:num>
              <m:sSub>
                <m:sSubPr>
                  <m:ctrlPr>
                    <w:rPr>
                      <w:rFonts w:ascii="Cambria Math" w:hAnsi="Cambria Math"/>
                      <w:sz w:val="24"/>
                      <w:szCs w:val="24"/>
                      <w:lang w:eastAsia="en-US"/>
                    </w:rPr>
                  </m:ctrlPr>
                </m:sSubPr>
                <m:e>
                  <m:r>
                    <m:rPr>
                      <m:sty m:val="p"/>
                    </m:rPr>
                    <w:rPr>
                      <w:rFonts w:ascii="Cambria Math" w:hAnsi="Times New Roman"/>
                      <w:sz w:val="24"/>
                      <w:szCs w:val="24"/>
                      <w:lang w:eastAsia="en-US"/>
                    </w:rPr>
                    <m:t>Pm</m:t>
                  </m:r>
                </m:e>
                <m:sub>
                  <m:r>
                    <m:rPr>
                      <m:sty m:val="p"/>
                    </m:rPr>
                    <w:rPr>
                      <w:rFonts w:ascii="Cambria Math" w:hAnsi="Times New Roman"/>
                      <w:sz w:val="24"/>
                      <w:szCs w:val="24"/>
                      <w:lang w:eastAsia="en-US"/>
                    </w:rPr>
                    <m:t>i</m:t>
                  </m:r>
                </m:sub>
              </m:sSub>
            </m:num>
            <m:den>
              <m:sSub>
                <m:sSubPr>
                  <m:ctrlPr>
                    <w:rPr>
                      <w:rFonts w:ascii="Cambria Math" w:hAnsi="Cambria Math"/>
                      <w:sz w:val="24"/>
                      <w:szCs w:val="24"/>
                      <w:lang w:eastAsia="en-US"/>
                    </w:rPr>
                  </m:ctrlPr>
                </m:sSubPr>
                <m:e>
                  <m:r>
                    <m:rPr>
                      <m:sty m:val="p"/>
                    </m:rPr>
                    <w:rPr>
                      <w:rFonts w:ascii="Cambria Math" w:hAnsi="Times New Roman"/>
                      <w:sz w:val="24"/>
                      <w:szCs w:val="24"/>
                      <w:lang w:eastAsia="en-US"/>
                    </w:rPr>
                    <m:t>Pm</m:t>
                  </m:r>
                </m:e>
                <m:sub>
                  <m:r>
                    <m:rPr>
                      <m:sty m:val="p"/>
                    </m:rPr>
                    <w:rPr>
                      <w:rFonts w:ascii="Cambria Math" w:hAnsi="Times New Roman"/>
                      <w:sz w:val="24"/>
                      <w:szCs w:val="24"/>
                      <w:lang w:eastAsia="en-US"/>
                    </w:rPr>
                    <m:t>i</m:t>
                  </m:r>
                  <m:r>
                    <m:rPr>
                      <m:sty m:val="p"/>
                    </m:rPr>
                    <w:rPr>
                      <w:rFonts w:ascii="Cambria Math" w:hAnsi="Cambria Math"/>
                      <w:sz w:val="24"/>
                      <w:szCs w:val="24"/>
                      <w:lang w:eastAsia="en-US"/>
                    </w:rPr>
                    <m:t>-</m:t>
                  </m:r>
                  <m:r>
                    <m:rPr>
                      <m:sty m:val="p"/>
                    </m:rPr>
                    <w:rPr>
                      <w:rFonts w:ascii="Cambria Math" w:hAnsi="Times New Roman"/>
                      <w:sz w:val="24"/>
                      <w:szCs w:val="24"/>
                      <w:lang w:eastAsia="en-US"/>
                    </w:rPr>
                    <m:t>1</m:t>
                  </m:r>
                </m:sub>
              </m:sSub>
            </m:den>
          </m:f>
          <m:r>
            <m:rPr>
              <m:sty m:val="p"/>
            </m:rPr>
            <w:rPr>
              <w:rFonts w:ascii="Cambria Math" w:hAnsi="Cambria Math"/>
              <w:sz w:val="24"/>
              <w:szCs w:val="24"/>
              <w:lang w:eastAsia="en-US"/>
            </w:rPr>
            <m:t>-</m:t>
          </m:r>
          <m:r>
            <m:rPr>
              <m:sty m:val="p"/>
            </m:rPr>
            <w:rPr>
              <w:rFonts w:ascii="Cambria Math" w:hAnsi="Times New Roman"/>
              <w:sz w:val="24"/>
              <w:szCs w:val="24"/>
              <w:lang w:eastAsia="en-US"/>
            </w:rPr>
            <m:t xml:space="preserve">1 </m:t>
          </m:r>
        </m:oMath>
      </m:oMathPara>
    </w:p>
    <w:p w14:paraId="16544A23" w14:textId="77777777" w:rsidR="000C1E0E" w:rsidRDefault="000C1E0E" w:rsidP="000C1E0E">
      <w:pPr>
        <w:spacing w:line="360" w:lineRule="auto"/>
        <w:rPr>
          <w:rFonts w:ascii="Times New Roman" w:hAnsi="Times New Roman"/>
          <w:sz w:val="24"/>
          <w:szCs w:val="24"/>
          <w:lang w:eastAsia="en-US"/>
        </w:rPr>
      </w:pPr>
    </w:p>
    <w:p w14:paraId="3AACCD26" w14:textId="77777777" w:rsidR="000C1E0E" w:rsidRDefault="00C74876" w:rsidP="000C1E0E">
      <w:pPr>
        <w:spacing w:line="360" w:lineRule="auto"/>
        <w:rPr>
          <w:rFonts w:ascii="Times New Roman" w:hAnsi="Times New Roman"/>
          <w:sz w:val="24"/>
          <w:szCs w:val="24"/>
          <w:lang w:eastAsia="en-US"/>
        </w:rPr>
      </w:pPr>
      <m:oMath>
        <m:sSub>
          <m:sSubPr>
            <m:ctrlPr>
              <w:rPr>
                <w:rFonts w:ascii="Cambria Math" w:hAnsi="Cambria Math"/>
                <w:sz w:val="24"/>
                <w:szCs w:val="24"/>
                <w:lang w:eastAsia="en-US"/>
              </w:rPr>
            </m:ctrlPr>
          </m:sSubPr>
          <m:e>
            <m:r>
              <m:rPr>
                <m:sty m:val="p"/>
              </m:rPr>
              <w:rPr>
                <w:rFonts w:ascii="Cambria Math" w:hAnsi="Times New Roman"/>
                <w:sz w:val="24"/>
                <w:szCs w:val="24"/>
                <w:lang w:eastAsia="en-US"/>
              </w:rPr>
              <m:t>R</m:t>
            </m:r>
          </m:e>
          <m:sub>
            <m:r>
              <m:rPr>
                <m:sty m:val="p"/>
              </m:rPr>
              <w:rPr>
                <w:rFonts w:ascii="Cambria Math" w:hAnsi="Times New Roman"/>
                <w:sz w:val="24"/>
                <w:szCs w:val="24"/>
                <w:lang w:eastAsia="en-US"/>
              </w:rPr>
              <m:t>a</m:t>
            </m:r>
          </m:sub>
        </m:sSub>
      </m:oMath>
      <w:r w:rsidR="000C1E0E">
        <w:rPr>
          <w:rFonts w:ascii="Times New Roman" w:hAnsi="Times New Roman"/>
          <w:sz w:val="24"/>
          <w:szCs w:val="24"/>
          <w:lang w:eastAsia="en-US"/>
        </w:rPr>
        <w:t xml:space="preserve"> - доходность актива;</w:t>
      </w:r>
    </w:p>
    <w:p w14:paraId="1246F9A2" w14:textId="77777777" w:rsidR="000C1E0E" w:rsidRDefault="00C74876" w:rsidP="000C1E0E">
      <w:pPr>
        <w:spacing w:line="360" w:lineRule="auto"/>
        <w:rPr>
          <w:rFonts w:ascii="Times New Roman" w:hAnsi="Times New Roman"/>
          <w:sz w:val="24"/>
          <w:szCs w:val="24"/>
          <w:lang w:eastAsia="en-US"/>
        </w:rPr>
      </w:pPr>
      <m:oMath>
        <m:sSub>
          <m:sSubPr>
            <m:ctrlPr>
              <w:rPr>
                <w:rFonts w:ascii="Cambria Math" w:hAnsi="Cambria Math"/>
                <w:sz w:val="24"/>
                <w:szCs w:val="24"/>
                <w:lang w:eastAsia="en-US"/>
              </w:rPr>
            </m:ctrlPr>
          </m:sSubPr>
          <m:e>
            <m:r>
              <m:rPr>
                <m:sty m:val="p"/>
              </m:rPr>
              <w:rPr>
                <w:rFonts w:ascii="Cambria Math" w:hAnsi="Times New Roman"/>
                <w:sz w:val="24"/>
                <w:szCs w:val="24"/>
                <w:lang w:eastAsia="en-US"/>
              </w:rPr>
              <m:t>Pa</m:t>
            </m:r>
          </m:e>
          <m:sub>
            <m:r>
              <m:rPr>
                <m:sty m:val="p"/>
              </m:rPr>
              <w:rPr>
                <w:rFonts w:ascii="Cambria Math" w:hAnsi="Times New Roman"/>
                <w:sz w:val="24"/>
                <w:szCs w:val="24"/>
                <w:lang w:eastAsia="en-US"/>
              </w:rPr>
              <m:t>i</m:t>
            </m:r>
          </m:sub>
        </m:sSub>
      </m:oMath>
      <w:r w:rsidR="000C1E0E">
        <w:rPr>
          <w:rFonts w:ascii="Times New Roman" w:hAnsi="Times New Roman"/>
          <w:sz w:val="24"/>
          <w:szCs w:val="24"/>
          <w:lang w:eastAsia="en-US"/>
        </w:rPr>
        <w:t xml:space="preserve"> – цена закрытия актива на дату </w:t>
      </w:r>
      <m:oMath>
        <m:r>
          <m:rPr>
            <m:sty m:val="p"/>
          </m:rPr>
          <w:rPr>
            <w:rFonts w:ascii="Cambria Math" w:hAnsi="Times New Roman"/>
            <w:sz w:val="24"/>
            <w:szCs w:val="24"/>
            <w:lang w:eastAsia="en-US"/>
          </w:rPr>
          <m:t>i</m:t>
        </m:r>
      </m:oMath>
      <w:r w:rsidR="000C1E0E">
        <w:rPr>
          <w:rFonts w:ascii="Times New Roman" w:hAnsi="Times New Roman"/>
          <w:sz w:val="24"/>
          <w:szCs w:val="24"/>
          <w:lang w:eastAsia="en-US"/>
        </w:rPr>
        <w:t>;</w:t>
      </w:r>
    </w:p>
    <w:p w14:paraId="47E372A0" w14:textId="77777777" w:rsidR="000C1E0E" w:rsidRDefault="00C74876" w:rsidP="000C1E0E">
      <w:pPr>
        <w:spacing w:line="360" w:lineRule="auto"/>
        <w:rPr>
          <w:rFonts w:ascii="Times New Roman" w:hAnsi="Times New Roman"/>
          <w:sz w:val="24"/>
          <w:szCs w:val="24"/>
          <w:lang w:eastAsia="en-US"/>
        </w:rPr>
      </w:pPr>
      <m:oMath>
        <m:sSub>
          <m:sSubPr>
            <m:ctrlPr>
              <w:rPr>
                <w:rFonts w:ascii="Cambria Math" w:hAnsi="Cambria Math"/>
                <w:sz w:val="24"/>
                <w:szCs w:val="24"/>
                <w:lang w:eastAsia="en-US"/>
              </w:rPr>
            </m:ctrlPr>
          </m:sSubPr>
          <m:e>
            <m:r>
              <m:rPr>
                <m:sty m:val="p"/>
              </m:rPr>
              <w:rPr>
                <w:rFonts w:ascii="Cambria Math" w:hAnsi="Times New Roman"/>
                <w:sz w:val="24"/>
                <w:szCs w:val="24"/>
                <w:lang w:eastAsia="en-US"/>
              </w:rPr>
              <m:t>Pa</m:t>
            </m:r>
          </m:e>
          <m:sub>
            <m:r>
              <m:rPr>
                <m:sty m:val="p"/>
              </m:rPr>
              <w:rPr>
                <w:rFonts w:ascii="Cambria Math" w:hAnsi="Times New Roman"/>
                <w:sz w:val="24"/>
                <w:szCs w:val="24"/>
                <w:lang w:eastAsia="en-US"/>
              </w:rPr>
              <m:t>i</m:t>
            </m:r>
            <m:r>
              <m:rPr>
                <m:sty m:val="p"/>
              </m:rPr>
              <w:rPr>
                <w:rFonts w:ascii="Cambria Math" w:hAnsi="Cambria Math"/>
                <w:sz w:val="24"/>
                <w:szCs w:val="24"/>
                <w:lang w:eastAsia="en-US"/>
              </w:rPr>
              <m:t>-</m:t>
            </m:r>
            <m:r>
              <m:rPr>
                <m:sty m:val="p"/>
              </m:rPr>
              <w:rPr>
                <w:rFonts w:ascii="Cambria Math" w:hAnsi="Times New Roman"/>
                <w:sz w:val="24"/>
                <w:szCs w:val="24"/>
                <w:lang w:eastAsia="en-US"/>
              </w:rPr>
              <m:t>1</m:t>
            </m:r>
          </m:sub>
        </m:sSub>
      </m:oMath>
      <w:r w:rsidR="000C1E0E">
        <w:rPr>
          <w:rFonts w:ascii="Times New Roman" w:hAnsi="Times New Roman"/>
          <w:sz w:val="24"/>
          <w:szCs w:val="24"/>
          <w:lang w:eastAsia="en-US"/>
        </w:rPr>
        <w:t xml:space="preserve"> – предыдущая цена закрытия актива;</w:t>
      </w:r>
    </w:p>
    <w:p w14:paraId="7BB1357E" w14:textId="77777777" w:rsidR="000C1E0E" w:rsidRDefault="00C74876" w:rsidP="000C1E0E">
      <w:pPr>
        <w:spacing w:line="360" w:lineRule="auto"/>
        <w:rPr>
          <w:rFonts w:ascii="Times New Roman" w:hAnsi="Times New Roman"/>
          <w:sz w:val="24"/>
          <w:szCs w:val="24"/>
          <w:lang w:eastAsia="en-US"/>
        </w:rPr>
      </w:pPr>
      <m:oMath>
        <m:sSub>
          <m:sSubPr>
            <m:ctrlPr>
              <w:rPr>
                <w:rFonts w:ascii="Cambria Math" w:hAnsi="Cambria Math"/>
                <w:sz w:val="24"/>
                <w:szCs w:val="24"/>
                <w:lang w:eastAsia="en-US"/>
              </w:rPr>
            </m:ctrlPr>
          </m:sSubPr>
          <m:e>
            <m:r>
              <m:rPr>
                <m:sty m:val="p"/>
              </m:rPr>
              <w:rPr>
                <w:rFonts w:ascii="Cambria Math" w:hAnsi="Times New Roman"/>
                <w:sz w:val="24"/>
                <w:szCs w:val="24"/>
                <w:lang w:eastAsia="en-US"/>
              </w:rPr>
              <m:t>R</m:t>
            </m:r>
          </m:e>
          <m:sub>
            <m:r>
              <m:rPr>
                <m:sty m:val="p"/>
              </m:rPr>
              <w:rPr>
                <w:rFonts w:ascii="Cambria Math" w:hAnsi="Times New Roman"/>
                <w:sz w:val="24"/>
                <w:szCs w:val="24"/>
                <w:lang w:eastAsia="en-US"/>
              </w:rPr>
              <m:t>m</m:t>
            </m:r>
          </m:sub>
        </m:sSub>
      </m:oMath>
      <w:r w:rsidR="000C1E0E">
        <w:rPr>
          <w:rFonts w:ascii="Times New Roman" w:hAnsi="Times New Roman"/>
          <w:sz w:val="24"/>
          <w:szCs w:val="24"/>
          <w:lang w:eastAsia="en-US"/>
        </w:rPr>
        <w:t xml:space="preserve"> - доходность рыночного индикатора;</w:t>
      </w:r>
    </w:p>
    <w:p w14:paraId="585E2D04" w14:textId="77777777" w:rsidR="000C1E0E" w:rsidRDefault="00C74876" w:rsidP="000C1E0E">
      <w:pPr>
        <w:spacing w:line="360" w:lineRule="auto"/>
        <w:rPr>
          <w:rFonts w:ascii="Times New Roman" w:hAnsi="Times New Roman"/>
          <w:sz w:val="24"/>
          <w:szCs w:val="24"/>
          <w:lang w:eastAsia="en-US"/>
        </w:rPr>
      </w:pPr>
      <m:oMath>
        <m:sSub>
          <m:sSubPr>
            <m:ctrlPr>
              <w:rPr>
                <w:rFonts w:ascii="Cambria Math" w:hAnsi="Cambria Math"/>
                <w:sz w:val="24"/>
                <w:szCs w:val="24"/>
                <w:lang w:eastAsia="en-US"/>
              </w:rPr>
            </m:ctrlPr>
          </m:sSubPr>
          <m:e>
            <m:r>
              <m:rPr>
                <m:sty m:val="p"/>
              </m:rPr>
              <w:rPr>
                <w:rFonts w:ascii="Cambria Math" w:hAnsi="Times New Roman"/>
                <w:sz w:val="24"/>
                <w:szCs w:val="24"/>
                <w:lang w:eastAsia="en-US"/>
              </w:rPr>
              <m:t>Pm</m:t>
            </m:r>
          </m:e>
          <m:sub>
            <m:r>
              <m:rPr>
                <m:sty m:val="p"/>
              </m:rPr>
              <w:rPr>
                <w:rFonts w:ascii="Cambria Math" w:hAnsi="Times New Roman"/>
                <w:sz w:val="24"/>
                <w:szCs w:val="24"/>
                <w:lang w:eastAsia="en-US"/>
              </w:rPr>
              <m:t>i</m:t>
            </m:r>
          </m:sub>
        </m:sSub>
      </m:oMath>
      <w:r w:rsidR="000C1E0E">
        <w:rPr>
          <w:rFonts w:ascii="Times New Roman" w:hAnsi="Times New Roman"/>
          <w:sz w:val="24"/>
          <w:szCs w:val="24"/>
          <w:lang w:eastAsia="en-US"/>
        </w:rPr>
        <w:t xml:space="preserve"> – значение рыночного индикатора на дату </w:t>
      </w:r>
      <m:oMath>
        <m:r>
          <m:rPr>
            <m:sty m:val="p"/>
          </m:rPr>
          <w:rPr>
            <w:rFonts w:ascii="Cambria Math" w:hAnsi="Times New Roman"/>
            <w:sz w:val="24"/>
            <w:szCs w:val="24"/>
            <w:lang w:eastAsia="en-US"/>
          </w:rPr>
          <m:t>i</m:t>
        </m:r>
      </m:oMath>
      <w:r w:rsidR="000C1E0E">
        <w:rPr>
          <w:rFonts w:ascii="Times New Roman" w:hAnsi="Times New Roman"/>
          <w:sz w:val="24"/>
          <w:szCs w:val="24"/>
          <w:lang w:eastAsia="en-US"/>
        </w:rPr>
        <w:t>;</w:t>
      </w:r>
    </w:p>
    <w:p w14:paraId="2FF1D13D" w14:textId="77777777" w:rsidR="000C1E0E" w:rsidRDefault="00C74876" w:rsidP="000C1E0E">
      <w:pPr>
        <w:spacing w:line="360" w:lineRule="auto"/>
        <w:rPr>
          <w:rFonts w:ascii="Times New Roman" w:hAnsi="Times New Roman"/>
          <w:sz w:val="24"/>
          <w:szCs w:val="24"/>
          <w:lang w:eastAsia="en-US"/>
        </w:rPr>
      </w:pPr>
      <m:oMath>
        <m:sSub>
          <m:sSubPr>
            <m:ctrlPr>
              <w:rPr>
                <w:rFonts w:ascii="Cambria Math" w:hAnsi="Cambria Math"/>
                <w:sz w:val="24"/>
                <w:szCs w:val="24"/>
                <w:lang w:eastAsia="en-US"/>
              </w:rPr>
            </m:ctrlPr>
          </m:sSubPr>
          <m:e>
            <m:r>
              <m:rPr>
                <m:sty m:val="p"/>
              </m:rPr>
              <w:rPr>
                <w:rFonts w:ascii="Cambria Math" w:hAnsi="Times New Roman"/>
                <w:sz w:val="24"/>
                <w:szCs w:val="24"/>
                <w:lang w:eastAsia="en-US"/>
              </w:rPr>
              <m:t>Pm</m:t>
            </m:r>
          </m:e>
          <m:sub>
            <m:r>
              <m:rPr>
                <m:sty m:val="p"/>
              </m:rPr>
              <w:rPr>
                <w:rFonts w:ascii="Cambria Math" w:hAnsi="Times New Roman"/>
                <w:sz w:val="24"/>
                <w:szCs w:val="24"/>
                <w:lang w:eastAsia="en-US"/>
              </w:rPr>
              <m:t>i</m:t>
            </m:r>
            <m:r>
              <m:rPr>
                <m:sty m:val="p"/>
              </m:rPr>
              <w:rPr>
                <w:rFonts w:ascii="Cambria Math" w:hAnsi="Cambria Math"/>
                <w:sz w:val="24"/>
                <w:szCs w:val="24"/>
                <w:lang w:eastAsia="en-US"/>
              </w:rPr>
              <m:t>-</m:t>
            </m:r>
            <m:r>
              <m:rPr>
                <m:sty m:val="p"/>
              </m:rPr>
              <w:rPr>
                <w:rFonts w:ascii="Cambria Math" w:hAnsi="Times New Roman"/>
                <w:sz w:val="24"/>
                <w:szCs w:val="24"/>
                <w:lang w:eastAsia="en-US"/>
              </w:rPr>
              <m:t>1</m:t>
            </m:r>
          </m:sub>
        </m:sSub>
      </m:oMath>
      <w:r w:rsidR="000C1E0E">
        <w:rPr>
          <w:rFonts w:ascii="Times New Roman" w:hAnsi="Times New Roman"/>
          <w:sz w:val="24"/>
          <w:szCs w:val="24"/>
          <w:lang w:eastAsia="en-US"/>
        </w:rPr>
        <w:t xml:space="preserve"> – предыдущее значение рыночного индикатора;</w:t>
      </w:r>
    </w:p>
    <w:p w14:paraId="6AF4E261" w14:textId="77777777" w:rsidR="000C1E0E" w:rsidRDefault="000C1E0E" w:rsidP="000C1E0E">
      <w:pPr>
        <w:spacing w:line="360" w:lineRule="auto"/>
        <w:rPr>
          <w:rFonts w:ascii="Times New Roman" w:hAnsi="Times New Roman"/>
          <w:sz w:val="24"/>
          <w:szCs w:val="24"/>
          <w:lang w:eastAsia="en-US"/>
        </w:rPr>
      </w:pPr>
      <m:oMath>
        <m:r>
          <m:rPr>
            <m:sty m:val="p"/>
          </m:rPr>
          <w:rPr>
            <w:rFonts w:ascii="Cambria Math" w:hAnsi="Times New Roman"/>
            <w:sz w:val="24"/>
            <w:szCs w:val="24"/>
            <w:lang w:eastAsia="en-US"/>
          </w:rPr>
          <m:t>i=1</m:t>
        </m:r>
        <m:r>
          <m:rPr>
            <m:sty m:val="p"/>
          </m:rPr>
          <w:rPr>
            <w:rFonts w:ascii="Cambria Math" w:hAnsi="Cambria Math"/>
            <w:sz w:val="24"/>
            <w:szCs w:val="24"/>
            <w:lang w:eastAsia="en-US"/>
          </w:rPr>
          <m:t>…</m:t>
        </m:r>
        <m:r>
          <m:rPr>
            <m:sty m:val="p"/>
          </m:rPr>
          <w:rPr>
            <w:rFonts w:ascii="Cambria Math" w:hAnsi="Times New Roman"/>
            <w:sz w:val="24"/>
            <w:szCs w:val="24"/>
            <w:lang w:eastAsia="en-US"/>
          </w:rPr>
          <m:t>N</m:t>
        </m:r>
      </m:oMath>
      <w:r>
        <w:rPr>
          <w:rFonts w:ascii="Times New Roman" w:hAnsi="Times New Roman"/>
          <w:sz w:val="24"/>
          <w:szCs w:val="24"/>
          <w:lang w:eastAsia="en-US"/>
        </w:rPr>
        <w:t>, торговые дни, предшествующие дате определения справедливой стоимости. Для расчета доходности актива и рыночного индикатора (бенчмарка), используются значения цены закрытия и рыночного индикатора за последние 45 торговых дней, предшествующие дате определения справедливой стоимости.</w:t>
      </w:r>
    </w:p>
    <w:p w14:paraId="4F9D9F8B" w14:textId="77777777" w:rsidR="000C1E0E" w:rsidRDefault="000C1E0E" w:rsidP="000C1E0E">
      <w:pPr>
        <w:spacing w:line="360" w:lineRule="auto"/>
        <w:ind w:firstLine="708"/>
        <w:rPr>
          <w:rFonts w:ascii="Times New Roman" w:hAnsi="Times New Roman"/>
          <w:sz w:val="24"/>
          <w:szCs w:val="24"/>
          <w:lang w:eastAsia="en-US"/>
        </w:rPr>
      </w:pPr>
      <w:r>
        <w:rPr>
          <w:rFonts w:ascii="Times New Roman" w:hAnsi="Times New Roman"/>
          <w:sz w:val="24"/>
          <w:szCs w:val="24"/>
          <w:lang w:eastAsia="en-US"/>
        </w:rPr>
        <w:t>Бета коэффициент рассчитывается на дату, предшествующую дате определения справедливой стоимости. При этом дата расчета Бета коэффициента должна являться торговым днем.</w:t>
      </w:r>
    </w:p>
    <w:p w14:paraId="6CFE7E85" w14:textId="77777777" w:rsidR="000C1E0E" w:rsidRDefault="000C1E0E" w:rsidP="000C1E0E">
      <w:pPr>
        <w:spacing w:line="360" w:lineRule="auto"/>
        <w:ind w:firstLine="360"/>
        <w:rPr>
          <w:rFonts w:ascii="Times New Roman" w:hAnsi="Times New Roman"/>
          <w:sz w:val="24"/>
          <w:szCs w:val="24"/>
          <w:lang w:eastAsia="en-US"/>
        </w:rPr>
      </w:pPr>
      <w:r>
        <w:rPr>
          <w:rFonts w:ascii="Times New Roman" w:hAnsi="Times New Roman"/>
          <w:sz w:val="24"/>
          <w:szCs w:val="24"/>
          <w:lang w:eastAsia="en-US"/>
        </w:rPr>
        <w:t>Полученное значение Бета коэффициента округляется по правилам математического округления до пяти десятичных знаков.</w:t>
      </w:r>
    </w:p>
    <w:p w14:paraId="7A48AB26" w14:textId="77777777" w:rsidR="000C1E0E" w:rsidRDefault="000C1E0E" w:rsidP="000C1E0E">
      <w:pPr>
        <w:spacing w:line="360" w:lineRule="auto"/>
        <w:ind w:left="360"/>
        <w:rPr>
          <w:rFonts w:ascii="Times New Roman" w:hAnsi="Times New Roman"/>
          <w:sz w:val="24"/>
          <w:szCs w:val="24"/>
          <w:lang w:eastAsia="en-US"/>
        </w:rPr>
      </w:pPr>
      <w:r>
        <w:rPr>
          <w:rFonts w:ascii="Times New Roman" w:hAnsi="Times New Roman"/>
          <w:sz w:val="24"/>
          <w:szCs w:val="24"/>
          <w:lang w:eastAsia="en-US"/>
        </w:rPr>
        <w:t xml:space="preserve">Показатели </w:t>
      </w:r>
      <m:oMath>
        <m:sSub>
          <m:sSubPr>
            <m:ctrlPr>
              <w:rPr>
                <w:rFonts w:ascii="Cambria Math" w:hAnsi="Cambria Math"/>
                <w:sz w:val="24"/>
                <w:szCs w:val="24"/>
                <w:lang w:eastAsia="en-US"/>
              </w:rPr>
            </m:ctrlPr>
          </m:sSubPr>
          <m:e>
            <m:r>
              <m:rPr>
                <m:sty m:val="p"/>
              </m:rPr>
              <w:rPr>
                <w:rFonts w:ascii="Cambria Math" w:hAnsi="Times New Roman"/>
                <w:sz w:val="24"/>
                <w:szCs w:val="24"/>
                <w:lang w:eastAsia="en-US"/>
              </w:rPr>
              <m:t>R</m:t>
            </m:r>
          </m:e>
          <m:sub>
            <m:r>
              <m:rPr>
                <m:sty m:val="p"/>
              </m:rPr>
              <w:rPr>
                <w:rFonts w:ascii="Cambria Math" w:hAnsi="Times New Roman"/>
                <w:sz w:val="24"/>
                <w:szCs w:val="24"/>
                <w:lang w:eastAsia="en-US"/>
              </w:rPr>
              <m:t>a</m:t>
            </m:r>
          </m:sub>
        </m:sSub>
      </m:oMath>
      <w:r>
        <w:rPr>
          <w:rFonts w:ascii="Times New Roman" w:hAnsi="Times New Roman"/>
          <w:sz w:val="24"/>
          <w:szCs w:val="24"/>
          <w:lang w:eastAsia="en-US"/>
        </w:rPr>
        <w:t xml:space="preserve">, </w:t>
      </w:r>
      <m:oMath>
        <m:sSub>
          <m:sSubPr>
            <m:ctrlPr>
              <w:rPr>
                <w:rFonts w:ascii="Cambria Math" w:hAnsi="Cambria Math"/>
                <w:sz w:val="24"/>
                <w:szCs w:val="24"/>
                <w:lang w:eastAsia="en-US"/>
              </w:rPr>
            </m:ctrlPr>
          </m:sSubPr>
          <m:e>
            <m:r>
              <m:rPr>
                <m:sty m:val="p"/>
              </m:rPr>
              <w:rPr>
                <w:rFonts w:ascii="Cambria Math" w:hAnsi="Times New Roman"/>
                <w:sz w:val="24"/>
                <w:szCs w:val="24"/>
                <w:lang w:eastAsia="en-US"/>
              </w:rPr>
              <m:t>R</m:t>
            </m:r>
          </m:e>
          <m:sub>
            <m:r>
              <m:rPr>
                <m:sty m:val="p"/>
              </m:rPr>
              <w:rPr>
                <w:rFonts w:ascii="Cambria Math" w:hAnsi="Times New Roman"/>
                <w:sz w:val="24"/>
                <w:szCs w:val="24"/>
                <w:lang w:eastAsia="en-US"/>
              </w:rPr>
              <m:t>m</m:t>
            </m:r>
          </m:sub>
        </m:sSub>
      </m:oMath>
      <w:r>
        <w:rPr>
          <w:rFonts w:ascii="Times New Roman" w:hAnsi="Times New Roman"/>
          <w:sz w:val="24"/>
          <w:szCs w:val="24"/>
          <w:lang w:eastAsia="en-US"/>
        </w:rPr>
        <w:t xml:space="preserve"> рассчитываются без промежуточных округлений.</w:t>
      </w:r>
    </w:p>
    <w:p w14:paraId="50DAD427" w14:textId="77777777" w:rsidR="000C1E0E" w:rsidRDefault="000C1E0E" w:rsidP="000C1E0E">
      <w:pPr>
        <w:spacing w:line="360" w:lineRule="auto"/>
        <w:jc w:val="left"/>
        <w:rPr>
          <w:rFonts w:ascii="Times New Roman" w:hAnsi="Times New Roman"/>
          <w:sz w:val="24"/>
          <w:szCs w:val="24"/>
          <w:lang w:eastAsia="en-US"/>
        </w:rPr>
      </w:pPr>
    </w:p>
    <w:p w14:paraId="7609C60A" w14:textId="77777777" w:rsidR="000C1E0E" w:rsidRDefault="000C1E0E" w:rsidP="000C1E0E">
      <w:pPr>
        <w:spacing w:line="360" w:lineRule="auto"/>
        <w:rPr>
          <w:rFonts w:ascii="Times New Roman" w:hAnsi="Times New Roman"/>
          <w:sz w:val="24"/>
          <w:szCs w:val="24"/>
          <w:lang w:eastAsia="en-US"/>
        </w:rPr>
      </w:pPr>
      <w:r>
        <w:rPr>
          <w:rFonts w:ascii="Times New Roman" w:hAnsi="Times New Roman"/>
          <w:sz w:val="24"/>
          <w:szCs w:val="24"/>
          <w:lang w:eastAsia="en-US"/>
        </w:rPr>
        <w:t>Прочие условия:</w:t>
      </w:r>
    </w:p>
    <w:p w14:paraId="6FFF60B8" w14:textId="77777777" w:rsidR="000C1E0E" w:rsidRDefault="000C1E0E" w:rsidP="000C1E0E">
      <w:pPr>
        <w:spacing w:line="360" w:lineRule="auto"/>
        <w:ind w:firstLine="708"/>
        <w:rPr>
          <w:rFonts w:ascii="Times New Roman" w:hAnsi="Times New Roman"/>
          <w:sz w:val="24"/>
          <w:szCs w:val="24"/>
          <w:lang w:eastAsia="en-US"/>
        </w:rPr>
      </w:pPr>
      <w:r>
        <w:rPr>
          <w:rFonts w:ascii="Times New Roman" w:hAnsi="Times New Roman"/>
          <w:sz w:val="24"/>
          <w:szCs w:val="24"/>
          <w:lang w:eastAsia="en-US"/>
        </w:rPr>
        <w:t>Цена закрытия актива на дату определения справедливой стоимости в модели не учитывается.</w:t>
      </w:r>
    </w:p>
    <w:p w14:paraId="332E730C" w14:textId="77777777" w:rsidR="000C1E0E" w:rsidRDefault="000C1E0E" w:rsidP="000C1E0E">
      <w:pPr>
        <w:spacing w:line="360" w:lineRule="auto"/>
        <w:ind w:firstLine="708"/>
        <w:rPr>
          <w:rFonts w:ascii="Times New Roman" w:hAnsi="Times New Roman"/>
          <w:sz w:val="24"/>
          <w:szCs w:val="24"/>
          <w:lang w:eastAsia="en-US"/>
        </w:rPr>
      </w:pPr>
      <w:r>
        <w:rPr>
          <w:rFonts w:ascii="Times New Roman" w:hAnsi="Times New Roman"/>
          <w:sz w:val="24"/>
          <w:szCs w:val="24"/>
          <w:lang w:eastAsia="en-US"/>
        </w:rPr>
        <w:t>При отсутствии цены закрытия в какой-либо торговый день в периоде 45 торговых дней, на дату расчета коэффициента Бета, информация о значении рыночного индикатора (бенчмарка) и безрисковой ставки за этот торговый день в модели не учитывается.</w:t>
      </w:r>
    </w:p>
    <w:p w14:paraId="1800651C" w14:textId="77777777" w:rsidR="000C1E0E" w:rsidRDefault="000C1E0E" w:rsidP="000C1E0E">
      <w:pPr>
        <w:spacing w:line="360" w:lineRule="auto"/>
        <w:ind w:firstLine="708"/>
        <w:rPr>
          <w:rFonts w:ascii="Times New Roman" w:hAnsi="Times New Roman"/>
          <w:sz w:val="24"/>
          <w:szCs w:val="24"/>
          <w:lang w:eastAsia="en-US"/>
        </w:rPr>
      </w:pPr>
      <w:r>
        <w:rPr>
          <w:rFonts w:ascii="Times New Roman" w:hAnsi="Times New Roman"/>
          <w:sz w:val="24"/>
          <w:szCs w:val="24"/>
          <w:lang w:eastAsia="en-US"/>
        </w:rPr>
        <w:t>При наличии цены закрытия и отсутствии значения рыночного индикатора (бенчмарка) в какой-либо торговый день в периоде 45 торговых дней, на дату расчета коэффициента Бета, значение рыночного индикатора (бенчмарка) за этот торговый день принимается равным последнему известному.</w:t>
      </w:r>
    </w:p>
    <w:p w14:paraId="62339D2A" w14:textId="77777777" w:rsidR="000C1E0E" w:rsidRDefault="000C1E0E" w:rsidP="000C1E0E">
      <w:pPr>
        <w:spacing w:line="360" w:lineRule="auto"/>
        <w:ind w:firstLine="708"/>
        <w:rPr>
          <w:rFonts w:ascii="Times New Roman" w:hAnsi="Times New Roman"/>
          <w:sz w:val="24"/>
          <w:szCs w:val="24"/>
          <w:lang w:eastAsia="en-US"/>
        </w:rPr>
      </w:pPr>
      <w:r>
        <w:rPr>
          <w:rFonts w:ascii="Times New Roman" w:hAnsi="Times New Roman"/>
          <w:sz w:val="24"/>
          <w:szCs w:val="24"/>
          <w:lang w:eastAsia="en-US"/>
        </w:rPr>
        <w:t>При отсутствии значения безрисковой ставки на дату расчета, значение безрисковой ставки за этот день принимается равным последнему известному.</w:t>
      </w:r>
    </w:p>
    <w:p w14:paraId="712144B9" w14:textId="77777777" w:rsidR="000C1E0E" w:rsidRDefault="000C1E0E" w:rsidP="000C1E0E">
      <w:pPr>
        <w:spacing w:line="360" w:lineRule="auto"/>
        <w:ind w:firstLine="708"/>
        <w:rPr>
          <w:rFonts w:ascii="Times New Roman" w:hAnsi="Times New Roman"/>
          <w:sz w:val="24"/>
          <w:szCs w:val="24"/>
          <w:lang w:eastAsia="en-US"/>
        </w:rPr>
      </w:pPr>
      <w:r>
        <w:rPr>
          <w:rFonts w:ascii="Times New Roman" w:hAnsi="Times New Roman"/>
          <w:sz w:val="24"/>
          <w:szCs w:val="24"/>
          <w:lang w:eastAsia="en-US"/>
        </w:rPr>
        <w:t>С даты возникновения оснований для применения модели CAPM до даты прекращения оснований для применения модели CAPM используется информация только той биржи, которая определена на дату возникновения оснований для применения модели CAPM. К такой информации относится следующие значения:</w:t>
      </w:r>
    </w:p>
    <w:p w14:paraId="24565FB3" w14:textId="77777777" w:rsidR="000C1E0E" w:rsidRDefault="000C1E0E" w:rsidP="000C1E0E">
      <w:pPr>
        <w:numPr>
          <w:ilvl w:val="0"/>
          <w:numId w:val="13"/>
        </w:numPr>
        <w:spacing w:after="200" w:line="360" w:lineRule="auto"/>
        <w:contextualSpacing/>
        <w:jc w:val="left"/>
        <w:rPr>
          <w:rFonts w:ascii="Times New Roman" w:hAnsi="Times New Roman"/>
          <w:sz w:val="24"/>
          <w:szCs w:val="24"/>
          <w:lang w:eastAsia="en-US"/>
        </w:rPr>
      </w:pPr>
      <w:r>
        <w:rPr>
          <w:rFonts w:ascii="Times New Roman" w:hAnsi="Times New Roman"/>
          <w:sz w:val="24"/>
          <w:szCs w:val="24"/>
          <w:lang w:eastAsia="en-US"/>
        </w:rPr>
        <w:t>цена закрытия;</w:t>
      </w:r>
    </w:p>
    <w:p w14:paraId="20A21E7C" w14:textId="77777777" w:rsidR="000C1E0E" w:rsidRDefault="000C1E0E" w:rsidP="000C1E0E">
      <w:pPr>
        <w:numPr>
          <w:ilvl w:val="0"/>
          <w:numId w:val="13"/>
        </w:numPr>
        <w:spacing w:after="200" w:line="360" w:lineRule="auto"/>
        <w:contextualSpacing/>
        <w:jc w:val="left"/>
        <w:rPr>
          <w:rFonts w:ascii="Times New Roman" w:hAnsi="Times New Roman"/>
          <w:sz w:val="24"/>
          <w:szCs w:val="24"/>
          <w:lang w:eastAsia="en-US"/>
        </w:rPr>
      </w:pPr>
      <w:r>
        <w:rPr>
          <w:rFonts w:ascii="Times New Roman" w:hAnsi="Times New Roman"/>
          <w:sz w:val="24"/>
          <w:szCs w:val="24"/>
          <w:lang w:eastAsia="en-US"/>
        </w:rPr>
        <w:t xml:space="preserve"> значение рыночного индикатора.</w:t>
      </w:r>
    </w:p>
    <w:p w14:paraId="06784754" w14:textId="77777777" w:rsidR="000C1E0E" w:rsidRDefault="000C1E0E" w:rsidP="000C1E0E">
      <w:pPr>
        <w:spacing w:line="360" w:lineRule="auto"/>
        <w:jc w:val="left"/>
        <w:rPr>
          <w:rFonts w:ascii="Times New Roman" w:eastAsiaTheme="minorHAnsi" w:hAnsi="Times New Roman"/>
          <w:sz w:val="24"/>
          <w:szCs w:val="24"/>
          <w:lang w:eastAsia="en-US"/>
        </w:rPr>
      </w:pPr>
      <w:r>
        <w:rPr>
          <w:rFonts w:ascii="Times New Roman" w:hAnsi="Times New Roman"/>
          <w:sz w:val="24"/>
          <w:szCs w:val="24"/>
          <w:lang w:eastAsia="en-US"/>
        </w:rPr>
        <w:br/>
      </w:r>
    </w:p>
    <w:p w14:paraId="4F55118B" w14:textId="77777777" w:rsidR="000C1E0E" w:rsidRDefault="000C1E0E" w:rsidP="000C1E0E">
      <w:pPr>
        <w:spacing w:line="360" w:lineRule="auto"/>
        <w:ind w:firstLine="426"/>
        <w:rPr>
          <w:rFonts w:ascii="Times New Roman" w:eastAsiaTheme="minorHAnsi" w:hAnsi="Times New Roman"/>
          <w:b/>
          <w:sz w:val="24"/>
          <w:szCs w:val="24"/>
          <w:lang w:eastAsia="en-US"/>
        </w:rPr>
      </w:pPr>
      <w:r>
        <w:rPr>
          <w:rFonts w:ascii="Times New Roman" w:eastAsiaTheme="minorHAnsi" w:hAnsi="Times New Roman"/>
          <w:b/>
          <w:sz w:val="24"/>
          <w:szCs w:val="24"/>
          <w:lang w:eastAsia="en-US"/>
        </w:rPr>
        <w:t>Уровень 3</w:t>
      </w:r>
      <w:r>
        <w:rPr>
          <w:rFonts w:ascii="Times New Roman" w:eastAsiaTheme="minorHAnsi" w:hAnsi="Times New Roman"/>
          <w:sz w:val="24"/>
          <w:szCs w:val="24"/>
          <w:lang w:eastAsia="en-US"/>
        </w:rPr>
        <w:t xml:space="preserve">. Если ни в один из 30 торговых дней, предшествующих дате оценки, не были доступны данные Уровня 2, то справедливая стоимость облигации определяется путем дисконтирования стоимости будущих купонных платежей, а также номинала по ставкам кривой безрисковых доходностей, скорректированных на кредитный спред: </w:t>
      </w:r>
    </w:p>
    <w:p w14:paraId="0D8EEBE6" w14:textId="77777777" w:rsidR="000C1E0E" w:rsidRDefault="000C1E0E" w:rsidP="000C1E0E">
      <w:pPr>
        <w:spacing w:line="360" w:lineRule="auto"/>
        <w:rPr>
          <w:rFonts w:ascii="Times New Roman" w:eastAsiaTheme="minorHAnsi" w:hAnsi="Times New Roman"/>
          <w:sz w:val="24"/>
          <w:szCs w:val="24"/>
          <w:lang w:eastAsia="en-US"/>
        </w:rPr>
      </w:pPr>
      <w:r>
        <w:rPr>
          <w:rFonts w:ascii="Times New Roman" w:eastAsiaTheme="minorHAnsi" w:hAnsi="Times New Roman"/>
          <w:noProof/>
          <w:position w:val="-30"/>
          <w:sz w:val="24"/>
          <w:szCs w:val="24"/>
          <w:lang w:eastAsia="en-US"/>
        </w:rPr>
        <w:object w:dxaOrig="2910" w:dyaOrig="690" w14:anchorId="1DE224D1">
          <v:shape id="_x0000_i1070" type="#_x0000_t75" style="width:144.85pt;height:34.35pt" o:ole="">
            <v:imagedata r:id="rId99" o:title=""/>
          </v:shape>
          <o:OLEObject Type="Embed" ProgID="Equation.3" ShapeID="_x0000_i1070" DrawAspect="Content" ObjectID="_1685875240" r:id="rId100"/>
        </w:object>
      </w:r>
    </w:p>
    <w:p w14:paraId="3EFC8755" w14:textId="77777777" w:rsidR="000C1E0E" w:rsidRDefault="000C1E0E" w:rsidP="000C1E0E">
      <w:pPr>
        <w:spacing w:line="360" w:lineRule="auto"/>
        <w:rPr>
          <w:rFonts w:ascii="Times New Roman" w:eastAsiaTheme="minorHAnsi" w:hAnsi="Times New Roman"/>
          <w:sz w:val="24"/>
          <w:szCs w:val="24"/>
          <w:lang w:eastAsia="en-US"/>
        </w:rPr>
      </w:pPr>
      <w:r>
        <w:rPr>
          <w:rFonts w:ascii="Times New Roman" w:eastAsiaTheme="minorHAnsi" w:hAnsi="Times New Roman"/>
          <w:sz w:val="24"/>
          <w:szCs w:val="24"/>
          <w:lang w:eastAsia="en-US"/>
        </w:rPr>
        <w:t>P</w:t>
      </w:r>
      <w:r>
        <w:rPr>
          <w:rFonts w:ascii="Times New Roman" w:eastAsiaTheme="minorHAnsi" w:hAnsi="Times New Roman"/>
          <w:sz w:val="24"/>
          <w:szCs w:val="24"/>
          <w:vertAlign w:val="subscript"/>
          <w:lang w:val="en-US" w:eastAsia="en-US"/>
        </w:rPr>
        <w:t>t</w:t>
      </w:r>
      <w:r>
        <w:rPr>
          <w:rFonts w:ascii="Times New Roman" w:eastAsiaTheme="minorHAnsi" w:hAnsi="Times New Roman"/>
          <w:sz w:val="24"/>
          <w:szCs w:val="24"/>
          <w:vertAlign w:val="subscript"/>
          <w:lang w:eastAsia="en-US"/>
        </w:rPr>
        <w:t>0</w:t>
      </w:r>
      <w:r>
        <w:rPr>
          <w:rFonts w:ascii="Times New Roman" w:eastAsiaTheme="minorHAnsi" w:hAnsi="Times New Roman"/>
          <w:sz w:val="24"/>
          <w:szCs w:val="24"/>
          <w:vertAlign w:val="subscript"/>
          <w:lang w:eastAsia="en-US"/>
        </w:rPr>
        <w:tab/>
      </w:r>
      <w:r>
        <w:rPr>
          <w:rFonts w:ascii="Times New Roman" w:eastAsiaTheme="minorHAnsi" w:hAnsi="Times New Roman"/>
          <w:sz w:val="24"/>
          <w:szCs w:val="24"/>
          <w:lang w:eastAsia="en-US"/>
        </w:rPr>
        <w:t xml:space="preserve"> – справедливая стоимость облигации;</w:t>
      </w:r>
    </w:p>
    <w:p w14:paraId="78E0AB3B" w14:textId="77777777" w:rsidR="000C1E0E" w:rsidRDefault="000C1E0E" w:rsidP="000C1E0E">
      <w:pPr>
        <w:spacing w:line="360" w:lineRule="auto"/>
        <w:rPr>
          <w:rFonts w:ascii="Times New Roman" w:eastAsiaTheme="minorHAnsi" w:hAnsi="Times New Roman"/>
          <w:sz w:val="24"/>
          <w:szCs w:val="24"/>
          <w:lang w:eastAsia="en-US"/>
        </w:rPr>
      </w:pPr>
      <w:r>
        <w:rPr>
          <w:rFonts w:ascii="Times New Roman" w:eastAsiaTheme="minorHAnsi" w:hAnsi="Times New Roman"/>
          <w:sz w:val="24"/>
          <w:szCs w:val="24"/>
          <w:lang w:val="en-US" w:eastAsia="en-US"/>
        </w:rPr>
        <w:t>i</w:t>
      </w:r>
      <w:r>
        <w:rPr>
          <w:rFonts w:ascii="Times New Roman" w:eastAsiaTheme="minorHAnsi" w:hAnsi="Times New Roman"/>
          <w:sz w:val="24"/>
          <w:szCs w:val="24"/>
          <w:lang w:eastAsia="en-US"/>
        </w:rPr>
        <w:t xml:space="preserve"> – порядковый номер денежного потока;</w:t>
      </w:r>
    </w:p>
    <w:p w14:paraId="5E15F117" w14:textId="3C360EC2" w:rsidR="000C1E0E" w:rsidRDefault="000C1E0E" w:rsidP="000C1E0E">
      <w:pPr>
        <w:spacing w:line="360" w:lineRule="auto"/>
        <w:rPr>
          <w:rFonts w:ascii="Times New Roman" w:eastAsiaTheme="minorHAnsi" w:hAnsi="Times New Roman"/>
          <w:sz w:val="24"/>
          <w:szCs w:val="24"/>
          <w:lang w:eastAsia="en-US"/>
        </w:rPr>
      </w:pPr>
      <w:r>
        <w:rPr>
          <w:rFonts w:ascii="Times New Roman" w:eastAsiaTheme="minorHAnsi" w:hAnsi="Times New Roman"/>
          <w:sz w:val="24"/>
          <w:szCs w:val="24"/>
          <w:lang w:eastAsia="en-US"/>
        </w:rPr>
        <w:t>CFi</w:t>
      </w:r>
      <w:r>
        <w:rPr>
          <w:rFonts w:ascii="Times New Roman" w:eastAsiaTheme="minorHAnsi" w:hAnsi="Times New Roman"/>
          <w:sz w:val="24"/>
          <w:szCs w:val="24"/>
          <w:lang w:eastAsia="en-US"/>
        </w:rPr>
        <w:tab/>
        <w:t xml:space="preserve"> – </w:t>
      </w:r>
      <w:r>
        <w:rPr>
          <w:rFonts w:ascii="Times New Roman" w:eastAsiaTheme="minorHAnsi" w:hAnsi="Times New Roman"/>
          <w:sz w:val="24"/>
          <w:szCs w:val="24"/>
          <w:lang w:val="en-US" w:eastAsia="en-US"/>
        </w:rPr>
        <w:t>i</w:t>
      </w:r>
      <w:r>
        <w:rPr>
          <w:rFonts w:ascii="Times New Roman" w:eastAsiaTheme="minorHAnsi" w:hAnsi="Times New Roman"/>
          <w:sz w:val="24"/>
          <w:szCs w:val="24"/>
          <w:lang w:eastAsia="en-US"/>
        </w:rPr>
        <w:t>-ый денежный поток по облигации – будущие денежные потоки по облигации (включая купонные вы</w:t>
      </w:r>
      <w:r w:rsidR="00F91C71">
        <w:rPr>
          <w:rFonts w:ascii="Times New Roman" w:eastAsiaTheme="minorHAnsi" w:hAnsi="Times New Roman"/>
          <w:sz w:val="24"/>
          <w:szCs w:val="24"/>
          <w:lang w:eastAsia="en-US"/>
        </w:rPr>
        <w:t xml:space="preserve">платы, амортизационные платежи, </w:t>
      </w:r>
      <w:r>
        <w:rPr>
          <w:rFonts w:ascii="Times New Roman" w:eastAsiaTheme="minorHAnsi" w:hAnsi="Times New Roman"/>
          <w:sz w:val="24"/>
          <w:szCs w:val="24"/>
          <w:lang w:eastAsia="en-US"/>
        </w:rPr>
        <w:t>и погашение остаточной номинальной стоимости) с даты определения справедливой стоимости (не включая) до даты оферты (если оферта предусмотрена условиями выпуска облигации), либо даты полного погашения, предусмотренного условиями выпуска (если оферта не предусмотрена). При этом если до даты оферты/погашения существуют купонные периоды, для которых ставка купона не определена, расчет денежного потока за указанный период производится исходя из последнего известного значения ставки купона;</w:t>
      </w:r>
    </w:p>
    <w:p w14:paraId="0ACEE689" w14:textId="77777777" w:rsidR="000C1E0E" w:rsidRDefault="000C1E0E" w:rsidP="000C1E0E">
      <w:pPr>
        <w:spacing w:line="360" w:lineRule="auto"/>
        <w:rPr>
          <w:rFonts w:ascii="Times New Roman" w:eastAsiaTheme="minorHAnsi" w:hAnsi="Times New Roman"/>
          <w:sz w:val="24"/>
          <w:szCs w:val="24"/>
          <w:lang w:eastAsia="en-US"/>
        </w:rPr>
      </w:pPr>
      <w:r>
        <w:rPr>
          <w:rFonts w:ascii="Times New Roman" w:eastAsiaTheme="minorHAnsi" w:hAnsi="Times New Roman"/>
          <w:sz w:val="24"/>
          <w:szCs w:val="24"/>
          <w:lang w:val="en-US" w:eastAsia="en-US"/>
        </w:rPr>
        <w:t>r</w:t>
      </w:r>
      <w:r>
        <w:rPr>
          <w:rFonts w:ascii="Times New Roman" w:eastAsiaTheme="minorHAnsi" w:hAnsi="Times New Roman"/>
          <w:sz w:val="24"/>
          <w:szCs w:val="24"/>
          <w:lang w:eastAsia="en-US"/>
        </w:rPr>
        <w:t>i</w:t>
      </w:r>
      <w:r>
        <w:rPr>
          <w:rFonts w:ascii="Times New Roman" w:eastAsiaTheme="minorHAnsi" w:hAnsi="Times New Roman"/>
          <w:sz w:val="24"/>
          <w:szCs w:val="24"/>
          <w:lang w:eastAsia="en-US"/>
        </w:rPr>
        <w:tab/>
        <w:t xml:space="preserve"> – ставка кривой бескупонной доходности рынка ОФЗ (</w:t>
      </w:r>
      <w:r>
        <w:rPr>
          <w:rFonts w:ascii="Times New Roman" w:eastAsiaTheme="minorHAnsi" w:hAnsi="Times New Roman"/>
          <w:sz w:val="24"/>
          <w:szCs w:val="24"/>
          <w:lang w:val="en-US" w:eastAsia="en-US"/>
        </w:rPr>
        <w:t>G</w:t>
      </w:r>
      <w:r>
        <w:rPr>
          <w:rFonts w:ascii="Times New Roman" w:eastAsiaTheme="minorHAnsi" w:hAnsi="Times New Roman"/>
          <w:sz w:val="24"/>
          <w:szCs w:val="24"/>
          <w:lang w:eastAsia="en-US"/>
        </w:rPr>
        <w:t>-кривая), соответствующая дате выплаты i-го денежного потока, публикуемая Банком России и Московской Биржей;</w:t>
      </w:r>
    </w:p>
    <w:p w14:paraId="3E6ECDD1" w14:textId="77777777" w:rsidR="000C1E0E" w:rsidRDefault="000C1E0E" w:rsidP="000C1E0E">
      <w:pPr>
        <w:spacing w:line="360" w:lineRule="auto"/>
        <w:rPr>
          <w:rFonts w:ascii="Times New Roman" w:eastAsiaTheme="minorHAnsi" w:hAnsi="Times New Roman"/>
          <w:sz w:val="24"/>
          <w:szCs w:val="24"/>
          <w:lang w:eastAsia="en-US"/>
        </w:rPr>
      </w:pPr>
      <w:r>
        <w:rPr>
          <w:rFonts w:ascii="Times New Roman" w:eastAsiaTheme="minorHAnsi" w:hAnsi="Times New Roman"/>
          <w:sz w:val="24"/>
          <w:szCs w:val="24"/>
          <w:lang w:val="en-US" w:eastAsia="en-US"/>
        </w:rPr>
        <w:t>CrSpread</w:t>
      </w:r>
      <w:r>
        <w:rPr>
          <w:rFonts w:ascii="Times New Roman" w:eastAsiaTheme="minorHAnsi" w:hAnsi="Times New Roman"/>
          <w:sz w:val="24"/>
          <w:szCs w:val="24"/>
          <w:lang w:eastAsia="en-US"/>
        </w:rPr>
        <w:t xml:space="preserve"> – кредитный спред облигационного индекса (расчет приведен ниже);</w:t>
      </w:r>
    </w:p>
    <w:p w14:paraId="3BDA9FAC" w14:textId="77777777" w:rsidR="000C1E0E" w:rsidRDefault="000C1E0E" w:rsidP="000C1E0E">
      <w:pPr>
        <w:spacing w:line="360" w:lineRule="auto"/>
        <w:rPr>
          <w:rFonts w:ascii="Times New Roman" w:eastAsiaTheme="minorHAnsi" w:hAnsi="Times New Roman"/>
          <w:sz w:val="24"/>
          <w:szCs w:val="24"/>
          <w:lang w:eastAsia="en-US"/>
        </w:rPr>
      </w:pPr>
      <w:r>
        <w:rPr>
          <w:rFonts w:ascii="Times New Roman" w:eastAsiaTheme="minorHAnsi" w:hAnsi="Times New Roman"/>
          <w:sz w:val="24"/>
          <w:szCs w:val="24"/>
          <w:lang w:eastAsia="en-US"/>
        </w:rPr>
        <w:t>ti</w:t>
      </w:r>
      <w:r>
        <w:rPr>
          <w:rFonts w:ascii="Times New Roman" w:eastAsiaTheme="minorHAnsi" w:hAnsi="Times New Roman"/>
          <w:sz w:val="24"/>
          <w:szCs w:val="24"/>
          <w:lang w:eastAsia="en-US"/>
        </w:rPr>
        <w:noBreakHyphen/>
        <w:t xml:space="preserve"> – срок до выплаты i-го денежного потока в годах (в качестве базы расчета используется 365 дней)</w:t>
      </w:r>
    </w:p>
    <w:p w14:paraId="4D2C4DAB" w14:textId="77777777" w:rsidR="000C1E0E" w:rsidRDefault="000C1E0E" w:rsidP="000C1E0E">
      <w:pPr>
        <w:spacing w:after="200" w:line="360" w:lineRule="auto"/>
        <w:ind w:firstLine="284"/>
        <w:rPr>
          <w:rFonts w:ascii="Times New Roman" w:eastAsiaTheme="minorHAnsi" w:hAnsi="Times New Roman"/>
          <w:sz w:val="24"/>
          <w:szCs w:val="24"/>
          <w:lang w:eastAsia="en-US"/>
        </w:rPr>
      </w:pPr>
      <w:r>
        <w:rPr>
          <w:rFonts w:ascii="Times New Roman" w:eastAsiaTheme="minorHAnsi" w:hAnsi="Times New Roman"/>
          <w:sz w:val="24"/>
          <w:szCs w:val="24"/>
          <w:lang w:eastAsia="en-US"/>
        </w:rPr>
        <w:t xml:space="preserve">В случае, если какой-либо выпуск облигаций был реструктуризирован, то полученное значение до даты выплаты первого купона с момента реорганизации корректируется на коэффициент, равный максимальной вероятности дефолта на горизонте 1 год по статистике международного рейтингового агентства «S&amp;P» по компаниям с преддефолтным рейтингом в составе отчета (Источник: </w:t>
      </w:r>
      <w:hyperlink r:id="rId101" w:history="1">
        <w:r>
          <w:rPr>
            <w:rStyle w:val="a7"/>
            <w:rFonts w:eastAsiaTheme="minorHAnsi"/>
            <w:sz w:val="24"/>
            <w:szCs w:val="24"/>
            <w:lang w:eastAsia="en-US"/>
          </w:rPr>
          <w:t>https://www.spratings.com/documents/20184/774196/2016+Annual+Global+Corporate+Default+Study+And+Rating+Transitions.pdf/2ddcf9dd-3b82-4151-9dab-8e3fc70a7035</w:t>
        </w:r>
      </w:hyperlink>
      <w:r>
        <w:rPr>
          <w:rFonts w:ascii="Times New Roman" w:eastAsiaTheme="minorHAnsi" w:hAnsi="Times New Roman"/>
          <w:sz w:val="24"/>
          <w:szCs w:val="24"/>
          <w:lang w:eastAsia="en-US"/>
        </w:rPr>
        <w:t>, таблица 9).</w:t>
      </w:r>
    </w:p>
    <w:p w14:paraId="37AC7E33" w14:textId="77777777" w:rsidR="000C1E0E" w:rsidRDefault="000C1E0E" w:rsidP="000C1E0E">
      <w:pPr>
        <w:spacing w:line="360" w:lineRule="auto"/>
        <w:ind w:firstLine="426"/>
        <w:rPr>
          <w:rFonts w:ascii="Times New Roman" w:eastAsiaTheme="minorHAnsi" w:hAnsi="Times New Roman"/>
          <w:sz w:val="24"/>
          <w:szCs w:val="24"/>
          <w:lang w:eastAsia="en-US"/>
        </w:rPr>
      </w:pPr>
      <w:r>
        <w:rPr>
          <w:rFonts w:ascii="Times New Roman" w:eastAsiaTheme="minorHAnsi" w:hAnsi="Times New Roman"/>
          <w:sz w:val="24"/>
          <w:szCs w:val="24"/>
          <w:lang w:eastAsia="en-US"/>
        </w:rPr>
        <w:t>В случае, если выпуск является субординированным, то в расчете ставки дисконтирования необходимо учитывать премию за субординированность. Порядок расчета премии должен быть описан в Правилах определения СЧА.</w:t>
      </w:r>
    </w:p>
    <w:p w14:paraId="6F7245A3" w14:textId="77777777" w:rsidR="000C1E0E" w:rsidRDefault="000C1E0E" w:rsidP="000C1E0E">
      <w:pPr>
        <w:spacing w:line="360" w:lineRule="auto"/>
        <w:ind w:firstLine="426"/>
        <w:rPr>
          <w:rFonts w:ascii="Times New Roman" w:eastAsiaTheme="minorHAnsi" w:hAnsi="Times New Roman"/>
          <w:sz w:val="24"/>
          <w:szCs w:val="24"/>
          <w:lang w:eastAsia="en-US"/>
        </w:rPr>
      </w:pPr>
      <w:r>
        <w:rPr>
          <w:rFonts w:ascii="Times New Roman" w:eastAsiaTheme="minorHAnsi" w:hAnsi="Times New Roman"/>
          <w:sz w:val="24"/>
          <w:szCs w:val="24"/>
          <w:lang w:eastAsia="en-US"/>
        </w:rPr>
        <w:t>Справедливая стоимость облигаций, полученная в результате данного метода расчета, округляется до двух знаков после запятой, с применением правил математического округления.</w:t>
      </w:r>
    </w:p>
    <w:p w14:paraId="0DE679A0" w14:textId="1346077B" w:rsidR="000C1E0E" w:rsidRDefault="000C1E0E" w:rsidP="000C1E0E">
      <w:pPr>
        <w:ind w:firstLine="426"/>
        <w:rPr>
          <w:sz w:val="24"/>
          <w:szCs w:val="24"/>
        </w:rPr>
      </w:pPr>
      <w:r>
        <w:rPr>
          <w:rFonts w:ascii="Times New Roman" w:eastAsiaTheme="minorHAnsi" w:hAnsi="Times New Roman"/>
          <w:sz w:val="24"/>
          <w:szCs w:val="24"/>
          <w:lang w:eastAsia="en-US"/>
        </w:rPr>
        <w:t>Для целей расчета медианного кредитного спреда (</w:t>
      </w:r>
      <m:oMath>
        <m:r>
          <w:rPr>
            <w:rFonts w:ascii="Cambria Math" w:eastAsiaTheme="minorHAnsi" w:hAnsi="Cambria Math"/>
            <w:sz w:val="24"/>
            <w:szCs w:val="24"/>
            <w:lang w:eastAsia="en-US"/>
          </w:rPr>
          <m:t>CrSpread</m:t>
        </m:r>
      </m:oMath>
      <w:r>
        <w:rPr>
          <w:rFonts w:ascii="Times New Roman" w:eastAsiaTheme="minorHAnsi" w:hAnsi="Times New Roman"/>
          <w:sz w:val="24"/>
          <w:szCs w:val="24"/>
          <w:lang w:eastAsia="en-US"/>
        </w:rPr>
        <w:t xml:space="preserve">) в зависимости от кредитного рейтинга у выпуска долговой ценной бумаги (кредитный рейтинг в валюте номинала), а в случае его отсутствия - </w:t>
      </w:r>
      <w:r>
        <w:rPr>
          <w:b/>
          <w:sz w:val="24"/>
          <w:szCs w:val="24"/>
        </w:rPr>
        <w:t>сначала</w:t>
      </w:r>
      <w:r>
        <w:rPr>
          <w:sz w:val="24"/>
          <w:szCs w:val="24"/>
        </w:rPr>
        <w:t xml:space="preserve"> </w:t>
      </w:r>
      <w:r>
        <w:rPr>
          <w:b/>
          <w:sz w:val="24"/>
          <w:szCs w:val="24"/>
        </w:rPr>
        <w:t>рейтинг эмитента, а в случае и его отсутствия рейтинг поручителя (гаранта) долговой ценной бумаги,</w:t>
      </w:r>
      <w:r>
        <w:rPr>
          <w:sz w:val="24"/>
          <w:szCs w:val="24"/>
        </w:rPr>
        <w:t xml:space="preserve"> долговая ценная бумага может быть отнесена к одной из четырех рейтинговых групп. При наличии нескольких рейтингов, выбирается </w:t>
      </w:r>
      <w:r>
        <w:rPr>
          <w:b/>
          <w:sz w:val="24"/>
          <w:szCs w:val="24"/>
        </w:rPr>
        <w:t>наиболее актуальный на дату оценки кредитный рейтинг.</w:t>
      </w:r>
      <w:r>
        <w:rPr>
          <w:sz w:val="24"/>
          <w:szCs w:val="24"/>
        </w:rPr>
        <w:t xml:space="preserve"> Если поручительство по выпуску долговой ценной бумаги обеспечивает исполнение обязательств в полном объёме и (или) гарантия выдана на сумму номинальной стоимости и процентов по таким долговым ценным бумагам, то выбирается</w:t>
      </w:r>
      <w:r>
        <w:rPr>
          <w:b/>
          <w:sz w:val="24"/>
          <w:szCs w:val="24"/>
        </w:rPr>
        <w:t xml:space="preserve"> наиболее актуальный на дату оценки кредитный рейтинг</w:t>
      </w:r>
      <w:r>
        <w:rPr>
          <w:sz w:val="24"/>
          <w:szCs w:val="24"/>
        </w:rPr>
        <w:t xml:space="preserve"> выпуска долговой ценной бумаги и поручителя (гаранта).</w:t>
      </w:r>
    </w:p>
    <w:p w14:paraId="5DD4A8E5" w14:textId="77777777" w:rsidR="000C1E0E" w:rsidRDefault="000C1E0E" w:rsidP="000C1E0E">
      <w:pPr>
        <w:spacing w:after="120" w:line="360" w:lineRule="auto"/>
        <w:ind w:firstLine="426"/>
        <w:rPr>
          <w:rFonts w:ascii="Times New Roman" w:eastAsiaTheme="minorHAnsi" w:hAnsi="Times New Roman"/>
          <w:sz w:val="24"/>
          <w:szCs w:val="24"/>
          <w:lang w:eastAsia="en-US"/>
        </w:rPr>
      </w:pPr>
    </w:p>
    <w:tbl>
      <w:tblPr>
        <w:tblW w:w="9631" w:type="dxa"/>
        <w:jc w:val="center"/>
        <w:tblLook w:val="04A0" w:firstRow="1" w:lastRow="0" w:firstColumn="1" w:lastColumn="0" w:noHBand="0" w:noVBand="1"/>
      </w:tblPr>
      <w:tblGrid>
        <w:gridCol w:w="1325"/>
        <w:gridCol w:w="1120"/>
        <w:gridCol w:w="1986"/>
        <w:gridCol w:w="1986"/>
        <w:gridCol w:w="1986"/>
        <w:gridCol w:w="1611"/>
      </w:tblGrid>
      <w:tr w:rsidR="000C1E0E" w14:paraId="42B3C794" w14:textId="77777777" w:rsidTr="0098752B">
        <w:trPr>
          <w:trHeight w:val="180"/>
          <w:jc w:val="center"/>
        </w:trPr>
        <w:tc>
          <w:tcPr>
            <w:tcW w:w="1833" w:type="dxa"/>
            <w:vMerge w:val="restart"/>
            <w:tcBorders>
              <w:top w:val="single" w:sz="8" w:space="0" w:color="auto"/>
              <w:left w:val="single" w:sz="8" w:space="0" w:color="auto"/>
              <w:bottom w:val="single" w:sz="8" w:space="0" w:color="000000"/>
              <w:right w:val="single" w:sz="8" w:space="0" w:color="auto"/>
            </w:tcBorders>
            <w:vAlign w:val="center"/>
            <w:hideMark/>
          </w:tcPr>
          <w:p w14:paraId="426034C1" w14:textId="77777777" w:rsidR="000C1E0E" w:rsidRDefault="000C1E0E" w:rsidP="0098752B">
            <w:pPr>
              <w:spacing w:after="200" w:line="360" w:lineRule="auto"/>
              <w:jc w:val="center"/>
              <w:rPr>
                <w:rFonts w:ascii="Times New Roman" w:eastAsiaTheme="minorHAnsi" w:hAnsi="Times New Roman"/>
                <w:b/>
                <w:bCs/>
                <w:sz w:val="24"/>
                <w:szCs w:val="24"/>
                <w:lang w:eastAsia="en-US"/>
              </w:rPr>
            </w:pPr>
            <w:r>
              <w:rPr>
                <w:rFonts w:ascii="Times New Roman" w:eastAsiaTheme="minorHAnsi" w:hAnsi="Times New Roman"/>
                <w:b/>
                <w:bCs/>
                <w:sz w:val="24"/>
                <w:szCs w:val="24"/>
                <w:lang w:eastAsia="en-US"/>
              </w:rPr>
              <w:t>АКРА</w:t>
            </w:r>
          </w:p>
        </w:tc>
        <w:tc>
          <w:tcPr>
            <w:tcW w:w="1287" w:type="dxa"/>
            <w:vMerge w:val="restart"/>
            <w:tcBorders>
              <w:top w:val="single" w:sz="8" w:space="0" w:color="auto"/>
              <w:left w:val="single" w:sz="8" w:space="0" w:color="auto"/>
              <w:bottom w:val="single" w:sz="8" w:space="0" w:color="000000"/>
              <w:right w:val="single" w:sz="8" w:space="0" w:color="auto"/>
            </w:tcBorders>
            <w:vAlign w:val="center"/>
            <w:hideMark/>
          </w:tcPr>
          <w:p w14:paraId="7FD4A89A" w14:textId="77777777" w:rsidR="000C1E0E" w:rsidRDefault="000C1E0E" w:rsidP="0098752B">
            <w:pPr>
              <w:spacing w:after="200" w:line="360" w:lineRule="auto"/>
              <w:jc w:val="center"/>
              <w:rPr>
                <w:rFonts w:ascii="Times New Roman" w:eastAsiaTheme="minorHAnsi" w:hAnsi="Times New Roman"/>
                <w:b/>
                <w:bCs/>
                <w:sz w:val="24"/>
                <w:szCs w:val="24"/>
                <w:lang w:eastAsia="en-US"/>
              </w:rPr>
            </w:pPr>
            <w:r>
              <w:rPr>
                <w:rFonts w:ascii="Times New Roman" w:eastAsiaTheme="minorHAnsi" w:hAnsi="Times New Roman"/>
                <w:b/>
                <w:bCs/>
                <w:sz w:val="24"/>
                <w:szCs w:val="24"/>
                <w:lang w:eastAsia="en-US"/>
              </w:rPr>
              <w:t>Эксперт РА</w:t>
            </w:r>
          </w:p>
        </w:tc>
        <w:tc>
          <w:tcPr>
            <w:tcW w:w="1691" w:type="dxa"/>
            <w:tcBorders>
              <w:top w:val="single" w:sz="8" w:space="0" w:color="auto"/>
              <w:left w:val="nil"/>
              <w:bottom w:val="single" w:sz="4" w:space="0" w:color="auto"/>
              <w:right w:val="single" w:sz="8" w:space="0" w:color="auto"/>
            </w:tcBorders>
            <w:noWrap/>
            <w:vAlign w:val="center"/>
            <w:hideMark/>
          </w:tcPr>
          <w:p w14:paraId="1C5509A5" w14:textId="77777777" w:rsidR="000C1E0E" w:rsidRDefault="000C1E0E" w:rsidP="0098752B">
            <w:pPr>
              <w:spacing w:after="200" w:line="360" w:lineRule="auto"/>
              <w:jc w:val="center"/>
              <w:rPr>
                <w:rFonts w:ascii="Times New Roman" w:eastAsiaTheme="minorHAnsi" w:hAnsi="Times New Roman"/>
                <w:b/>
                <w:bCs/>
                <w:sz w:val="24"/>
                <w:szCs w:val="24"/>
                <w:lang w:eastAsia="en-US"/>
              </w:rPr>
            </w:pPr>
            <w:r>
              <w:rPr>
                <w:rFonts w:ascii="Times New Roman" w:eastAsiaTheme="minorHAnsi" w:hAnsi="Times New Roman"/>
                <w:b/>
                <w:bCs/>
                <w:sz w:val="24"/>
                <w:szCs w:val="24"/>
                <w:lang w:eastAsia="en-US"/>
              </w:rPr>
              <w:t>Moody`s</w:t>
            </w:r>
          </w:p>
        </w:tc>
        <w:tc>
          <w:tcPr>
            <w:tcW w:w="1700" w:type="dxa"/>
            <w:tcBorders>
              <w:top w:val="single" w:sz="8" w:space="0" w:color="auto"/>
              <w:left w:val="nil"/>
              <w:bottom w:val="single" w:sz="4" w:space="0" w:color="auto"/>
              <w:right w:val="nil"/>
            </w:tcBorders>
            <w:vAlign w:val="center"/>
            <w:hideMark/>
          </w:tcPr>
          <w:p w14:paraId="055FAF6D" w14:textId="77777777" w:rsidR="000C1E0E" w:rsidRDefault="000C1E0E" w:rsidP="0098752B">
            <w:pPr>
              <w:spacing w:after="200" w:line="360" w:lineRule="auto"/>
              <w:jc w:val="center"/>
              <w:rPr>
                <w:rFonts w:ascii="Times New Roman" w:eastAsiaTheme="minorHAnsi" w:hAnsi="Times New Roman"/>
                <w:b/>
                <w:bCs/>
                <w:sz w:val="24"/>
                <w:szCs w:val="24"/>
                <w:lang w:eastAsia="en-US"/>
              </w:rPr>
            </w:pPr>
            <w:r>
              <w:rPr>
                <w:rFonts w:ascii="Times New Roman" w:eastAsiaTheme="minorHAnsi" w:hAnsi="Times New Roman"/>
                <w:b/>
                <w:bCs/>
                <w:sz w:val="24"/>
                <w:szCs w:val="24"/>
                <w:lang w:eastAsia="en-US"/>
              </w:rPr>
              <w:t>S&amp;P</w:t>
            </w:r>
          </w:p>
        </w:tc>
        <w:tc>
          <w:tcPr>
            <w:tcW w:w="1701" w:type="dxa"/>
            <w:tcBorders>
              <w:top w:val="single" w:sz="8" w:space="0" w:color="auto"/>
              <w:left w:val="single" w:sz="8" w:space="0" w:color="auto"/>
              <w:bottom w:val="single" w:sz="4" w:space="0" w:color="auto"/>
              <w:right w:val="single" w:sz="8" w:space="0" w:color="auto"/>
            </w:tcBorders>
            <w:noWrap/>
            <w:vAlign w:val="center"/>
            <w:hideMark/>
          </w:tcPr>
          <w:p w14:paraId="42D989B7" w14:textId="77777777" w:rsidR="000C1E0E" w:rsidRDefault="000C1E0E" w:rsidP="0098752B">
            <w:pPr>
              <w:spacing w:after="200" w:line="360" w:lineRule="auto"/>
              <w:jc w:val="center"/>
              <w:rPr>
                <w:rFonts w:ascii="Times New Roman" w:eastAsiaTheme="minorHAnsi" w:hAnsi="Times New Roman"/>
                <w:b/>
                <w:bCs/>
                <w:sz w:val="24"/>
                <w:szCs w:val="24"/>
                <w:lang w:eastAsia="en-US"/>
              </w:rPr>
            </w:pPr>
            <w:r>
              <w:rPr>
                <w:rFonts w:ascii="Times New Roman" w:eastAsiaTheme="minorHAnsi" w:hAnsi="Times New Roman"/>
                <w:b/>
                <w:bCs/>
                <w:sz w:val="24"/>
                <w:szCs w:val="24"/>
                <w:lang w:eastAsia="en-US"/>
              </w:rPr>
              <w:t>Fitch</w:t>
            </w:r>
          </w:p>
        </w:tc>
        <w:tc>
          <w:tcPr>
            <w:tcW w:w="1419" w:type="dxa"/>
            <w:vMerge w:val="restart"/>
            <w:tcBorders>
              <w:top w:val="single" w:sz="8" w:space="0" w:color="auto"/>
              <w:left w:val="single" w:sz="8" w:space="0" w:color="auto"/>
              <w:bottom w:val="single" w:sz="4" w:space="0" w:color="auto"/>
              <w:right w:val="single" w:sz="8" w:space="0" w:color="auto"/>
            </w:tcBorders>
            <w:noWrap/>
            <w:vAlign w:val="center"/>
            <w:hideMark/>
          </w:tcPr>
          <w:p w14:paraId="2E851643" w14:textId="77777777" w:rsidR="000C1E0E" w:rsidRDefault="000C1E0E" w:rsidP="0098752B">
            <w:pPr>
              <w:spacing w:after="200" w:line="360" w:lineRule="auto"/>
              <w:jc w:val="center"/>
              <w:rPr>
                <w:rFonts w:ascii="Times New Roman" w:eastAsiaTheme="minorHAnsi" w:hAnsi="Times New Roman"/>
                <w:b/>
                <w:bCs/>
                <w:sz w:val="24"/>
                <w:szCs w:val="24"/>
                <w:lang w:eastAsia="en-US"/>
              </w:rPr>
            </w:pPr>
            <w:r>
              <w:rPr>
                <w:rFonts w:ascii="Times New Roman" w:eastAsiaTheme="minorHAnsi" w:hAnsi="Times New Roman"/>
                <w:b/>
                <w:bCs/>
                <w:sz w:val="24"/>
                <w:szCs w:val="24"/>
                <w:lang w:eastAsia="en-US"/>
              </w:rPr>
              <w:t>Рейтинговая группа</w:t>
            </w:r>
          </w:p>
        </w:tc>
      </w:tr>
      <w:tr w:rsidR="000C1E0E" w14:paraId="33C40159" w14:textId="77777777" w:rsidTr="0098752B">
        <w:trPr>
          <w:trHeight w:val="613"/>
          <w:jc w:val="center"/>
        </w:trPr>
        <w:tc>
          <w:tcPr>
            <w:tcW w:w="0" w:type="auto"/>
            <w:vMerge/>
            <w:tcBorders>
              <w:top w:val="single" w:sz="8" w:space="0" w:color="auto"/>
              <w:left w:val="single" w:sz="8" w:space="0" w:color="auto"/>
              <w:bottom w:val="single" w:sz="8" w:space="0" w:color="000000"/>
              <w:right w:val="single" w:sz="8" w:space="0" w:color="auto"/>
            </w:tcBorders>
            <w:vAlign w:val="center"/>
            <w:hideMark/>
          </w:tcPr>
          <w:p w14:paraId="05FC5E4C" w14:textId="77777777" w:rsidR="000C1E0E" w:rsidRDefault="000C1E0E" w:rsidP="0098752B">
            <w:pPr>
              <w:spacing w:line="240" w:lineRule="auto"/>
              <w:jc w:val="left"/>
              <w:rPr>
                <w:rFonts w:ascii="Times New Roman" w:eastAsiaTheme="minorHAnsi" w:hAnsi="Times New Roman"/>
                <w:b/>
                <w:bCs/>
                <w:sz w:val="24"/>
                <w:szCs w:val="24"/>
                <w:lang w:eastAsia="en-US"/>
              </w:rPr>
            </w:pPr>
          </w:p>
        </w:tc>
        <w:tc>
          <w:tcPr>
            <w:tcW w:w="0" w:type="auto"/>
            <w:vMerge/>
            <w:tcBorders>
              <w:top w:val="single" w:sz="8" w:space="0" w:color="auto"/>
              <w:left w:val="single" w:sz="8" w:space="0" w:color="auto"/>
              <w:bottom w:val="single" w:sz="8" w:space="0" w:color="000000"/>
              <w:right w:val="single" w:sz="8" w:space="0" w:color="auto"/>
            </w:tcBorders>
            <w:vAlign w:val="center"/>
            <w:hideMark/>
          </w:tcPr>
          <w:p w14:paraId="3DBA41CE" w14:textId="77777777" w:rsidR="000C1E0E" w:rsidRDefault="000C1E0E" w:rsidP="0098752B">
            <w:pPr>
              <w:spacing w:line="240" w:lineRule="auto"/>
              <w:jc w:val="left"/>
              <w:rPr>
                <w:rFonts w:ascii="Times New Roman" w:eastAsiaTheme="minorHAnsi" w:hAnsi="Times New Roman"/>
                <w:b/>
                <w:bCs/>
                <w:sz w:val="24"/>
                <w:szCs w:val="24"/>
                <w:lang w:eastAsia="en-US"/>
              </w:rPr>
            </w:pPr>
          </w:p>
        </w:tc>
        <w:tc>
          <w:tcPr>
            <w:tcW w:w="1691" w:type="dxa"/>
            <w:tcBorders>
              <w:top w:val="single" w:sz="4" w:space="0" w:color="auto"/>
              <w:left w:val="single" w:sz="4" w:space="0" w:color="auto"/>
              <w:bottom w:val="single" w:sz="4" w:space="0" w:color="auto"/>
              <w:right w:val="single" w:sz="4" w:space="0" w:color="auto"/>
            </w:tcBorders>
            <w:vAlign w:val="center"/>
            <w:hideMark/>
          </w:tcPr>
          <w:p w14:paraId="2D7B5E85" w14:textId="77777777" w:rsidR="000C1E0E" w:rsidRDefault="000C1E0E" w:rsidP="0098752B">
            <w:pPr>
              <w:spacing w:after="200" w:line="360" w:lineRule="auto"/>
              <w:jc w:val="center"/>
              <w:rPr>
                <w:rFonts w:ascii="Times New Roman" w:eastAsiaTheme="minorHAnsi" w:hAnsi="Times New Roman"/>
                <w:b/>
                <w:bCs/>
                <w:sz w:val="24"/>
                <w:szCs w:val="24"/>
                <w:lang w:eastAsia="en-US"/>
              </w:rPr>
            </w:pPr>
            <w:r>
              <w:rPr>
                <w:rFonts w:ascii="Times New Roman" w:eastAsiaTheme="minorHAnsi" w:hAnsi="Times New Roman"/>
                <w:b/>
                <w:bCs/>
                <w:sz w:val="24"/>
                <w:szCs w:val="24"/>
                <w:lang w:eastAsia="en-US"/>
              </w:rPr>
              <w:t>Международная шкала</w:t>
            </w:r>
          </w:p>
        </w:tc>
        <w:tc>
          <w:tcPr>
            <w:tcW w:w="1700" w:type="dxa"/>
            <w:tcBorders>
              <w:top w:val="single" w:sz="4" w:space="0" w:color="auto"/>
              <w:left w:val="single" w:sz="4" w:space="0" w:color="auto"/>
              <w:bottom w:val="single" w:sz="4" w:space="0" w:color="auto"/>
              <w:right w:val="single" w:sz="4" w:space="0" w:color="auto"/>
            </w:tcBorders>
            <w:vAlign w:val="center"/>
            <w:hideMark/>
          </w:tcPr>
          <w:p w14:paraId="70E5D042" w14:textId="77777777" w:rsidR="000C1E0E" w:rsidRDefault="000C1E0E" w:rsidP="0098752B">
            <w:pPr>
              <w:spacing w:after="200" w:line="360" w:lineRule="auto"/>
              <w:jc w:val="center"/>
              <w:rPr>
                <w:rFonts w:ascii="Times New Roman" w:eastAsiaTheme="minorHAnsi" w:hAnsi="Times New Roman"/>
                <w:b/>
                <w:bCs/>
                <w:sz w:val="24"/>
                <w:szCs w:val="24"/>
                <w:lang w:eastAsia="en-US"/>
              </w:rPr>
            </w:pPr>
            <w:r>
              <w:rPr>
                <w:rFonts w:ascii="Times New Roman" w:eastAsiaTheme="minorHAnsi" w:hAnsi="Times New Roman"/>
                <w:b/>
                <w:bCs/>
                <w:sz w:val="24"/>
                <w:szCs w:val="24"/>
                <w:lang w:eastAsia="en-US"/>
              </w:rPr>
              <w:t>Международная шкала</w:t>
            </w:r>
          </w:p>
        </w:tc>
        <w:tc>
          <w:tcPr>
            <w:tcW w:w="1701" w:type="dxa"/>
            <w:tcBorders>
              <w:top w:val="single" w:sz="4" w:space="0" w:color="auto"/>
              <w:left w:val="single" w:sz="4" w:space="0" w:color="auto"/>
              <w:bottom w:val="single" w:sz="4" w:space="0" w:color="auto"/>
              <w:right w:val="single" w:sz="4" w:space="0" w:color="auto"/>
            </w:tcBorders>
            <w:vAlign w:val="center"/>
            <w:hideMark/>
          </w:tcPr>
          <w:p w14:paraId="3B7359CE" w14:textId="77777777" w:rsidR="000C1E0E" w:rsidRDefault="000C1E0E" w:rsidP="0098752B">
            <w:pPr>
              <w:spacing w:after="200" w:line="360" w:lineRule="auto"/>
              <w:jc w:val="center"/>
              <w:rPr>
                <w:rFonts w:ascii="Times New Roman" w:eastAsiaTheme="minorHAnsi" w:hAnsi="Times New Roman"/>
                <w:b/>
                <w:bCs/>
                <w:sz w:val="24"/>
                <w:szCs w:val="24"/>
                <w:lang w:eastAsia="en-US"/>
              </w:rPr>
            </w:pPr>
            <w:r>
              <w:rPr>
                <w:rFonts w:ascii="Times New Roman" w:eastAsiaTheme="minorHAnsi" w:hAnsi="Times New Roman"/>
                <w:b/>
                <w:bCs/>
                <w:sz w:val="24"/>
                <w:szCs w:val="24"/>
                <w:lang w:eastAsia="en-US"/>
              </w:rPr>
              <w:t>Международная шкала</w:t>
            </w:r>
          </w:p>
        </w:tc>
        <w:tc>
          <w:tcPr>
            <w:tcW w:w="0" w:type="auto"/>
            <w:vMerge/>
            <w:tcBorders>
              <w:top w:val="single" w:sz="8" w:space="0" w:color="auto"/>
              <w:left w:val="single" w:sz="8" w:space="0" w:color="auto"/>
              <w:bottom w:val="single" w:sz="4" w:space="0" w:color="auto"/>
              <w:right w:val="single" w:sz="8" w:space="0" w:color="auto"/>
            </w:tcBorders>
            <w:vAlign w:val="center"/>
            <w:hideMark/>
          </w:tcPr>
          <w:p w14:paraId="534907FB" w14:textId="77777777" w:rsidR="000C1E0E" w:rsidRDefault="000C1E0E" w:rsidP="0098752B">
            <w:pPr>
              <w:spacing w:line="240" w:lineRule="auto"/>
              <w:jc w:val="left"/>
              <w:rPr>
                <w:rFonts w:ascii="Times New Roman" w:eastAsiaTheme="minorHAnsi" w:hAnsi="Times New Roman"/>
                <w:b/>
                <w:bCs/>
                <w:sz w:val="24"/>
                <w:szCs w:val="24"/>
                <w:lang w:eastAsia="en-US"/>
              </w:rPr>
            </w:pPr>
          </w:p>
        </w:tc>
      </w:tr>
      <w:tr w:rsidR="000C1E0E" w14:paraId="63B30C9D" w14:textId="77777777" w:rsidTr="0098752B">
        <w:trPr>
          <w:trHeight w:val="345"/>
          <w:jc w:val="center"/>
        </w:trPr>
        <w:tc>
          <w:tcPr>
            <w:tcW w:w="1833" w:type="dxa"/>
            <w:tcBorders>
              <w:top w:val="nil"/>
              <w:left w:val="single" w:sz="8" w:space="0" w:color="auto"/>
              <w:bottom w:val="single" w:sz="8" w:space="0" w:color="auto"/>
              <w:right w:val="single" w:sz="8" w:space="0" w:color="auto"/>
            </w:tcBorders>
            <w:vAlign w:val="center"/>
            <w:hideMark/>
          </w:tcPr>
          <w:p w14:paraId="01749305" w14:textId="77777777" w:rsidR="000C1E0E" w:rsidRDefault="000C1E0E" w:rsidP="0098752B">
            <w:pPr>
              <w:spacing w:after="200" w:line="360" w:lineRule="auto"/>
              <w:jc w:val="center"/>
              <w:rPr>
                <w:rFonts w:ascii="Times New Roman" w:eastAsiaTheme="minorHAnsi" w:hAnsi="Times New Roman"/>
                <w:sz w:val="24"/>
                <w:szCs w:val="24"/>
                <w:lang w:eastAsia="en-US"/>
              </w:rPr>
            </w:pPr>
            <w:r>
              <w:rPr>
                <w:rFonts w:ascii="Times New Roman" w:eastAsiaTheme="minorHAnsi" w:hAnsi="Times New Roman"/>
                <w:sz w:val="24"/>
                <w:szCs w:val="24"/>
                <w:lang w:eastAsia="en-US"/>
              </w:rPr>
              <w:t> </w:t>
            </w:r>
          </w:p>
        </w:tc>
        <w:tc>
          <w:tcPr>
            <w:tcW w:w="1287" w:type="dxa"/>
            <w:tcBorders>
              <w:top w:val="nil"/>
              <w:left w:val="nil"/>
              <w:bottom w:val="single" w:sz="8" w:space="0" w:color="auto"/>
              <w:right w:val="single" w:sz="8" w:space="0" w:color="auto"/>
            </w:tcBorders>
            <w:vAlign w:val="center"/>
            <w:hideMark/>
          </w:tcPr>
          <w:p w14:paraId="7038D891" w14:textId="77777777" w:rsidR="000C1E0E" w:rsidRDefault="000C1E0E" w:rsidP="0098752B">
            <w:pPr>
              <w:spacing w:after="200" w:line="360" w:lineRule="auto"/>
              <w:jc w:val="center"/>
              <w:rPr>
                <w:rFonts w:ascii="Times New Roman" w:eastAsiaTheme="minorHAnsi" w:hAnsi="Times New Roman"/>
                <w:sz w:val="24"/>
                <w:szCs w:val="24"/>
                <w:lang w:eastAsia="en-US"/>
              </w:rPr>
            </w:pPr>
            <w:r>
              <w:rPr>
                <w:rFonts w:ascii="Times New Roman" w:eastAsiaTheme="minorHAnsi" w:hAnsi="Times New Roman"/>
                <w:sz w:val="24"/>
                <w:szCs w:val="24"/>
                <w:lang w:eastAsia="en-US"/>
              </w:rPr>
              <w:t> </w:t>
            </w:r>
          </w:p>
        </w:tc>
        <w:tc>
          <w:tcPr>
            <w:tcW w:w="1691" w:type="dxa"/>
            <w:tcBorders>
              <w:top w:val="single" w:sz="4" w:space="0" w:color="auto"/>
              <w:left w:val="nil"/>
              <w:bottom w:val="single" w:sz="8" w:space="0" w:color="auto"/>
              <w:right w:val="single" w:sz="8" w:space="0" w:color="auto"/>
            </w:tcBorders>
            <w:noWrap/>
            <w:vAlign w:val="center"/>
            <w:hideMark/>
          </w:tcPr>
          <w:p w14:paraId="4FD923E5" w14:textId="77777777" w:rsidR="000C1E0E" w:rsidRDefault="000C1E0E" w:rsidP="0098752B">
            <w:pPr>
              <w:spacing w:after="200" w:line="360" w:lineRule="auto"/>
              <w:jc w:val="center"/>
              <w:rPr>
                <w:rFonts w:ascii="Times New Roman" w:eastAsiaTheme="minorHAnsi" w:hAnsi="Times New Roman"/>
                <w:sz w:val="24"/>
                <w:szCs w:val="24"/>
                <w:lang w:eastAsia="en-US"/>
              </w:rPr>
            </w:pPr>
            <w:r>
              <w:rPr>
                <w:rFonts w:ascii="Times New Roman" w:eastAsiaTheme="minorHAnsi" w:hAnsi="Times New Roman"/>
                <w:sz w:val="24"/>
                <w:szCs w:val="24"/>
                <w:lang w:eastAsia="en-US"/>
              </w:rPr>
              <w:t>Ваа1</w:t>
            </w:r>
          </w:p>
        </w:tc>
        <w:tc>
          <w:tcPr>
            <w:tcW w:w="1700" w:type="dxa"/>
            <w:tcBorders>
              <w:top w:val="single" w:sz="4" w:space="0" w:color="auto"/>
              <w:left w:val="nil"/>
              <w:bottom w:val="single" w:sz="8" w:space="0" w:color="auto"/>
              <w:right w:val="single" w:sz="8" w:space="0" w:color="auto"/>
            </w:tcBorders>
            <w:vAlign w:val="center"/>
            <w:hideMark/>
          </w:tcPr>
          <w:p w14:paraId="5842D8BD" w14:textId="77777777" w:rsidR="000C1E0E" w:rsidRDefault="000C1E0E" w:rsidP="0098752B">
            <w:pPr>
              <w:spacing w:after="200" w:line="360" w:lineRule="auto"/>
              <w:jc w:val="center"/>
              <w:rPr>
                <w:rFonts w:ascii="Times New Roman" w:eastAsiaTheme="minorHAnsi" w:hAnsi="Times New Roman"/>
                <w:sz w:val="24"/>
                <w:szCs w:val="24"/>
                <w:lang w:eastAsia="en-US"/>
              </w:rPr>
            </w:pPr>
            <w:r>
              <w:rPr>
                <w:rFonts w:ascii="Times New Roman" w:eastAsiaTheme="minorHAnsi" w:hAnsi="Times New Roman"/>
                <w:sz w:val="24"/>
                <w:szCs w:val="24"/>
                <w:lang w:eastAsia="en-US"/>
              </w:rPr>
              <w:t>ВВВ+</w:t>
            </w:r>
          </w:p>
        </w:tc>
        <w:tc>
          <w:tcPr>
            <w:tcW w:w="1701" w:type="dxa"/>
            <w:tcBorders>
              <w:top w:val="single" w:sz="4" w:space="0" w:color="auto"/>
              <w:left w:val="nil"/>
              <w:bottom w:val="single" w:sz="8" w:space="0" w:color="auto"/>
              <w:right w:val="single" w:sz="4" w:space="0" w:color="auto"/>
            </w:tcBorders>
            <w:noWrap/>
            <w:vAlign w:val="center"/>
            <w:hideMark/>
          </w:tcPr>
          <w:p w14:paraId="1781AE9E" w14:textId="77777777" w:rsidR="000C1E0E" w:rsidRDefault="000C1E0E" w:rsidP="0098752B">
            <w:pPr>
              <w:spacing w:after="200" w:line="360" w:lineRule="auto"/>
              <w:jc w:val="center"/>
              <w:rPr>
                <w:rFonts w:ascii="Times New Roman" w:eastAsiaTheme="minorHAnsi" w:hAnsi="Times New Roman"/>
                <w:sz w:val="24"/>
                <w:szCs w:val="24"/>
                <w:lang w:eastAsia="en-US"/>
              </w:rPr>
            </w:pPr>
            <w:r>
              <w:rPr>
                <w:rFonts w:ascii="Times New Roman" w:eastAsiaTheme="minorHAnsi" w:hAnsi="Times New Roman"/>
                <w:sz w:val="24"/>
                <w:szCs w:val="24"/>
                <w:lang w:eastAsia="en-US"/>
              </w:rPr>
              <w:t>ВВВ+</w:t>
            </w:r>
          </w:p>
        </w:tc>
        <w:tc>
          <w:tcPr>
            <w:tcW w:w="1419" w:type="dxa"/>
            <w:vMerge w:val="restart"/>
            <w:tcBorders>
              <w:top w:val="single" w:sz="4" w:space="0" w:color="auto"/>
              <w:left w:val="single" w:sz="4" w:space="0" w:color="auto"/>
              <w:bottom w:val="single" w:sz="4" w:space="0" w:color="auto"/>
              <w:right w:val="single" w:sz="4" w:space="0" w:color="auto"/>
            </w:tcBorders>
            <w:noWrap/>
            <w:vAlign w:val="center"/>
            <w:hideMark/>
          </w:tcPr>
          <w:p w14:paraId="6514A2B6" w14:textId="77777777" w:rsidR="000C1E0E" w:rsidRDefault="000C1E0E" w:rsidP="0098752B">
            <w:pPr>
              <w:spacing w:after="200" w:line="360" w:lineRule="auto"/>
              <w:jc w:val="center"/>
              <w:rPr>
                <w:rFonts w:ascii="Times New Roman" w:eastAsiaTheme="minorHAnsi" w:hAnsi="Times New Roman"/>
                <w:b/>
                <w:bCs/>
                <w:sz w:val="24"/>
                <w:szCs w:val="24"/>
                <w:lang w:eastAsia="en-US"/>
              </w:rPr>
            </w:pPr>
            <w:r>
              <w:rPr>
                <w:rFonts w:ascii="Times New Roman" w:eastAsiaTheme="minorHAnsi" w:hAnsi="Times New Roman"/>
                <w:b/>
                <w:bCs/>
                <w:sz w:val="24"/>
                <w:szCs w:val="24"/>
                <w:lang w:eastAsia="en-US"/>
              </w:rPr>
              <w:t>Рейтинговая группа I</w:t>
            </w:r>
          </w:p>
        </w:tc>
      </w:tr>
      <w:tr w:rsidR="000C1E0E" w14:paraId="7C807B5A" w14:textId="77777777" w:rsidTr="0098752B">
        <w:trPr>
          <w:trHeight w:val="345"/>
          <w:jc w:val="center"/>
        </w:trPr>
        <w:tc>
          <w:tcPr>
            <w:tcW w:w="1833" w:type="dxa"/>
            <w:tcBorders>
              <w:top w:val="nil"/>
              <w:left w:val="single" w:sz="8" w:space="0" w:color="auto"/>
              <w:bottom w:val="single" w:sz="8" w:space="0" w:color="auto"/>
              <w:right w:val="single" w:sz="8" w:space="0" w:color="auto"/>
            </w:tcBorders>
            <w:vAlign w:val="center"/>
            <w:hideMark/>
          </w:tcPr>
          <w:p w14:paraId="66F7BD79" w14:textId="77777777" w:rsidR="000C1E0E" w:rsidRDefault="000C1E0E" w:rsidP="0098752B">
            <w:pPr>
              <w:spacing w:after="200" w:line="360" w:lineRule="auto"/>
              <w:jc w:val="center"/>
              <w:rPr>
                <w:rFonts w:ascii="Times New Roman" w:eastAsiaTheme="minorHAnsi" w:hAnsi="Times New Roman"/>
                <w:sz w:val="24"/>
                <w:szCs w:val="24"/>
                <w:lang w:eastAsia="en-US"/>
              </w:rPr>
            </w:pPr>
            <w:r>
              <w:rPr>
                <w:rFonts w:ascii="Times New Roman" w:eastAsiaTheme="minorHAnsi" w:hAnsi="Times New Roman"/>
                <w:sz w:val="24"/>
                <w:szCs w:val="24"/>
                <w:lang w:eastAsia="en-US"/>
              </w:rPr>
              <w:t> </w:t>
            </w:r>
          </w:p>
        </w:tc>
        <w:tc>
          <w:tcPr>
            <w:tcW w:w="1287" w:type="dxa"/>
            <w:tcBorders>
              <w:top w:val="nil"/>
              <w:left w:val="nil"/>
              <w:bottom w:val="single" w:sz="8" w:space="0" w:color="auto"/>
              <w:right w:val="single" w:sz="8" w:space="0" w:color="auto"/>
            </w:tcBorders>
            <w:vAlign w:val="center"/>
            <w:hideMark/>
          </w:tcPr>
          <w:p w14:paraId="492CAE03" w14:textId="77777777" w:rsidR="000C1E0E" w:rsidRDefault="000C1E0E" w:rsidP="0098752B">
            <w:pPr>
              <w:spacing w:after="200" w:line="360" w:lineRule="auto"/>
              <w:jc w:val="center"/>
              <w:rPr>
                <w:rFonts w:ascii="Times New Roman" w:eastAsiaTheme="minorHAnsi" w:hAnsi="Times New Roman"/>
                <w:sz w:val="24"/>
                <w:szCs w:val="24"/>
                <w:lang w:eastAsia="en-US"/>
              </w:rPr>
            </w:pPr>
            <w:r>
              <w:rPr>
                <w:rFonts w:ascii="Times New Roman" w:eastAsiaTheme="minorHAnsi" w:hAnsi="Times New Roman"/>
                <w:sz w:val="24"/>
                <w:szCs w:val="24"/>
                <w:lang w:eastAsia="en-US"/>
              </w:rPr>
              <w:t> </w:t>
            </w:r>
          </w:p>
        </w:tc>
        <w:tc>
          <w:tcPr>
            <w:tcW w:w="1691" w:type="dxa"/>
            <w:tcBorders>
              <w:top w:val="nil"/>
              <w:left w:val="nil"/>
              <w:bottom w:val="single" w:sz="8" w:space="0" w:color="auto"/>
              <w:right w:val="single" w:sz="8" w:space="0" w:color="auto"/>
            </w:tcBorders>
            <w:noWrap/>
            <w:vAlign w:val="center"/>
            <w:hideMark/>
          </w:tcPr>
          <w:p w14:paraId="521C87E0" w14:textId="77777777" w:rsidR="000C1E0E" w:rsidRDefault="000C1E0E" w:rsidP="0098752B">
            <w:pPr>
              <w:spacing w:after="200" w:line="360" w:lineRule="auto"/>
              <w:jc w:val="center"/>
              <w:rPr>
                <w:rFonts w:ascii="Times New Roman" w:eastAsiaTheme="minorHAnsi" w:hAnsi="Times New Roman"/>
                <w:sz w:val="24"/>
                <w:szCs w:val="24"/>
                <w:lang w:eastAsia="en-US"/>
              </w:rPr>
            </w:pPr>
            <w:r>
              <w:rPr>
                <w:rFonts w:ascii="Times New Roman" w:eastAsiaTheme="minorHAnsi" w:hAnsi="Times New Roman"/>
                <w:sz w:val="24"/>
                <w:szCs w:val="24"/>
                <w:lang w:eastAsia="en-US"/>
              </w:rPr>
              <w:t>Ваа2</w:t>
            </w:r>
          </w:p>
        </w:tc>
        <w:tc>
          <w:tcPr>
            <w:tcW w:w="1700" w:type="dxa"/>
            <w:tcBorders>
              <w:top w:val="nil"/>
              <w:left w:val="nil"/>
              <w:bottom w:val="single" w:sz="8" w:space="0" w:color="auto"/>
              <w:right w:val="single" w:sz="8" w:space="0" w:color="auto"/>
            </w:tcBorders>
            <w:vAlign w:val="center"/>
            <w:hideMark/>
          </w:tcPr>
          <w:p w14:paraId="2B956D99" w14:textId="77777777" w:rsidR="000C1E0E" w:rsidRDefault="000C1E0E" w:rsidP="0098752B">
            <w:pPr>
              <w:spacing w:after="200" w:line="360" w:lineRule="auto"/>
              <w:jc w:val="center"/>
              <w:rPr>
                <w:rFonts w:ascii="Times New Roman" w:eastAsiaTheme="minorHAnsi" w:hAnsi="Times New Roman"/>
                <w:sz w:val="24"/>
                <w:szCs w:val="24"/>
                <w:lang w:eastAsia="en-US"/>
              </w:rPr>
            </w:pPr>
            <w:r>
              <w:rPr>
                <w:rFonts w:ascii="Times New Roman" w:eastAsiaTheme="minorHAnsi" w:hAnsi="Times New Roman"/>
                <w:sz w:val="24"/>
                <w:szCs w:val="24"/>
                <w:lang w:eastAsia="en-US"/>
              </w:rPr>
              <w:t>ВВВ</w:t>
            </w:r>
          </w:p>
        </w:tc>
        <w:tc>
          <w:tcPr>
            <w:tcW w:w="1701" w:type="dxa"/>
            <w:tcBorders>
              <w:top w:val="nil"/>
              <w:left w:val="nil"/>
              <w:bottom w:val="single" w:sz="8" w:space="0" w:color="auto"/>
              <w:right w:val="single" w:sz="4" w:space="0" w:color="auto"/>
            </w:tcBorders>
            <w:noWrap/>
            <w:vAlign w:val="center"/>
            <w:hideMark/>
          </w:tcPr>
          <w:p w14:paraId="1E9A5C87" w14:textId="77777777" w:rsidR="000C1E0E" w:rsidRDefault="000C1E0E" w:rsidP="0098752B">
            <w:pPr>
              <w:spacing w:after="200" w:line="360" w:lineRule="auto"/>
              <w:jc w:val="center"/>
              <w:rPr>
                <w:rFonts w:ascii="Times New Roman" w:eastAsiaTheme="minorHAnsi" w:hAnsi="Times New Roman"/>
                <w:sz w:val="24"/>
                <w:szCs w:val="24"/>
                <w:lang w:eastAsia="en-US"/>
              </w:rPr>
            </w:pPr>
            <w:r>
              <w:rPr>
                <w:rFonts w:ascii="Times New Roman" w:eastAsiaTheme="minorHAnsi" w:hAnsi="Times New Roman"/>
                <w:sz w:val="24"/>
                <w:szCs w:val="24"/>
                <w:lang w:eastAsia="en-US"/>
              </w:rPr>
              <w:t>ВВВ</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22DC67A2" w14:textId="77777777" w:rsidR="000C1E0E" w:rsidRDefault="000C1E0E" w:rsidP="0098752B">
            <w:pPr>
              <w:spacing w:line="240" w:lineRule="auto"/>
              <w:jc w:val="left"/>
              <w:rPr>
                <w:rFonts w:ascii="Times New Roman" w:eastAsiaTheme="minorHAnsi" w:hAnsi="Times New Roman"/>
                <w:b/>
                <w:bCs/>
                <w:sz w:val="24"/>
                <w:szCs w:val="24"/>
                <w:lang w:eastAsia="en-US"/>
              </w:rPr>
            </w:pPr>
          </w:p>
        </w:tc>
      </w:tr>
      <w:tr w:rsidR="000C1E0E" w14:paraId="01BE00B1" w14:textId="77777777" w:rsidTr="0098752B">
        <w:trPr>
          <w:trHeight w:val="345"/>
          <w:jc w:val="center"/>
        </w:trPr>
        <w:tc>
          <w:tcPr>
            <w:tcW w:w="1833" w:type="dxa"/>
            <w:tcBorders>
              <w:top w:val="nil"/>
              <w:left w:val="single" w:sz="8" w:space="0" w:color="auto"/>
              <w:bottom w:val="single" w:sz="8" w:space="0" w:color="auto"/>
              <w:right w:val="single" w:sz="8" w:space="0" w:color="auto"/>
            </w:tcBorders>
            <w:vAlign w:val="center"/>
            <w:hideMark/>
          </w:tcPr>
          <w:p w14:paraId="6809332A" w14:textId="77777777" w:rsidR="000C1E0E" w:rsidRDefault="000C1E0E" w:rsidP="0098752B">
            <w:pPr>
              <w:spacing w:after="200" w:line="360" w:lineRule="auto"/>
              <w:jc w:val="center"/>
              <w:rPr>
                <w:rFonts w:ascii="Times New Roman" w:eastAsiaTheme="minorHAnsi" w:hAnsi="Times New Roman"/>
                <w:sz w:val="24"/>
                <w:szCs w:val="24"/>
                <w:lang w:eastAsia="en-US"/>
              </w:rPr>
            </w:pPr>
            <w:r>
              <w:rPr>
                <w:rFonts w:ascii="Times New Roman" w:eastAsiaTheme="minorHAnsi" w:hAnsi="Times New Roman"/>
                <w:sz w:val="24"/>
                <w:szCs w:val="24"/>
                <w:lang w:eastAsia="en-US"/>
              </w:rPr>
              <w:t>AAA(RU)</w:t>
            </w:r>
          </w:p>
        </w:tc>
        <w:tc>
          <w:tcPr>
            <w:tcW w:w="1287" w:type="dxa"/>
            <w:tcBorders>
              <w:top w:val="nil"/>
              <w:left w:val="nil"/>
              <w:bottom w:val="single" w:sz="8" w:space="0" w:color="auto"/>
              <w:right w:val="single" w:sz="8" w:space="0" w:color="auto"/>
            </w:tcBorders>
            <w:vAlign w:val="center"/>
            <w:hideMark/>
          </w:tcPr>
          <w:p w14:paraId="43FCBBAF" w14:textId="77777777" w:rsidR="000C1E0E" w:rsidRDefault="000C1E0E" w:rsidP="0098752B">
            <w:pPr>
              <w:spacing w:after="200" w:line="360" w:lineRule="auto"/>
              <w:jc w:val="center"/>
              <w:rPr>
                <w:rFonts w:ascii="Times New Roman" w:eastAsiaTheme="minorHAnsi" w:hAnsi="Times New Roman"/>
                <w:sz w:val="24"/>
                <w:szCs w:val="24"/>
                <w:lang w:eastAsia="en-US"/>
              </w:rPr>
            </w:pPr>
            <w:r>
              <w:rPr>
                <w:rFonts w:ascii="Times New Roman" w:eastAsiaTheme="minorHAnsi" w:hAnsi="Times New Roman"/>
                <w:sz w:val="24"/>
                <w:szCs w:val="24"/>
                <w:lang w:eastAsia="en-US"/>
              </w:rPr>
              <w:t>ruAAA</w:t>
            </w:r>
          </w:p>
        </w:tc>
        <w:tc>
          <w:tcPr>
            <w:tcW w:w="1691" w:type="dxa"/>
            <w:tcBorders>
              <w:top w:val="nil"/>
              <w:left w:val="nil"/>
              <w:bottom w:val="single" w:sz="8" w:space="0" w:color="auto"/>
              <w:right w:val="single" w:sz="8" w:space="0" w:color="auto"/>
            </w:tcBorders>
            <w:noWrap/>
            <w:vAlign w:val="center"/>
            <w:hideMark/>
          </w:tcPr>
          <w:p w14:paraId="51B8F1DA" w14:textId="77777777" w:rsidR="000C1E0E" w:rsidRDefault="000C1E0E" w:rsidP="0098752B">
            <w:pPr>
              <w:spacing w:after="200" w:line="360" w:lineRule="auto"/>
              <w:jc w:val="center"/>
              <w:rPr>
                <w:rFonts w:ascii="Times New Roman" w:eastAsiaTheme="minorHAnsi" w:hAnsi="Times New Roman"/>
                <w:sz w:val="24"/>
                <w:szCs w:val="24"/>
                <w:lang w:eastAsia="en-US"/>
              </w:rPr>
            </w:pPr>
            <w:r>
              <w:rPr>
                <w:rFonts w:ascii="Times New Roman" w:eastAsiaTheme="minorHAnsi" w:hAnsi="Times New Roman"/>
                <w:sz w:val="24"/>
                <w:szCs w:val="24"/>
                <w:lang w:eastAsia="en-US"/>
              </w:rPr>
              <w:t>Ваа3</w:t>
            </w:r>
          </w:p>
        </w:tc>
        <w:tc>
          <w:tcPr>
            <w:tcW w:w="1700" w:type="dxa"/>
            <w:tcBorders>
              <w:top w:val="nil"/>
              <w:left w:val="nil"/>
              <w:bottom w:val="single" w:sz="8" w:space="0" w:color="auto"/>
              <w:right w:val="single" w:sz="8" w:space="0" w:color="auto"/>
            </w:tcBorders>
            <w:vAlign w:val="center"/>
            <w:hideMark/>
          </w:tcPr>
          <w:p w14:paraId="3F232AC3" w14:textId="77777777" w:rsidR="000C1E0E" w:rsidRDefault="000C1E0E" w:rsidP="0098752B">
            <w:pPr>
              <w:spacing w:after="200" w:line="360" w:lineRule="auto"/>
              <w:jc w:val="center"/>
              <w:rPr>
                <w:rFonts w:ascii="Times New Roman" w:eastAsiaTheme="minorHAnsi" w:hAnsi="Times New Roman"/>
                <w:sz w:val="24"/>
                <w:szCs w:val="24"/>
                <w:lang w:eastAsia="en-US"/>
              </w:rPr>
            </w:pPr>
            <w:r>
              <w:rPr>
                <w:rFonts w:ascii="Times New Roman" w:eastAsiaTheme="minorHAnsi" w:hAnsi="Times New Roman"/>
                <w:sz w:val="24"/>
                <w:szCs w:val="24"/>
                <w:lang w:eastAsia="en-US"/>
              </w:rPr>
              <w:t>ВВВ-</w:t>
            </w:r>
          </w:p>
        </w:tc>
        <w:tc>
          <w:tcPr>
            <w:tcW w:w="1701" w:type="dxa"/>
            <w:tcBorders>
              <w:top w:val="nil"/>
              <w:left w:val="nil"/>
              <w:bottom w:val="single" w:sz="8" w:space="0" w:color="auto"/>
              <w:right w:val="single" w:sz="4" w:space="0" w:color="auto"/>
            </w:tcBorders>
            <w:noWrap/>
            <w:vAlign w:val="center"/>
            <w:hideMark/>
          </w:tcPr>
          <w:p w14:paraId="432C4A44" w14:textId="77777777" w:rsidR="000C1E0E" w:rsidRDefault="000C1E0E" w:rsidP="0098752B">
            <w:pPr>
              <w:spacing w:after="200" w:line="360" w:lineRule="auto"/>
              <w:jc w:val="center"/>
              <w:rPr>
                <w:rFonts w:ascii="Times New Roman" w:eastAsiaTheme="minorHAnsi" w:hAnsi="Times New Roman"/>
                <w:sz w:val="24"/>
                <w:szCs w:val="24"/>
                <w:lang w:eastAsia="en-US"/>
              </w:rPr>
            </w:pPr>
            <w:r>
              <w:rPr>
                <w:rFonts w:ascii="Times New Roman" w:eastAsiaTheme="minorHAnsi" w:hAnsi="Times New Roman"/>
                <w:sz w:val="24"/>
                <w:szCs w:val="24"/>
                <w:lang w:eastAsia="en-US"/>
              </w:rPr>
              <w:t>ВВВ-</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1529DADD" w14:textId="77777777" w:rsidR="000C1E0E" w:rsidRDefault="000C1E0E" w:rsidP="0098752B">
            <w:pPr>
              <w:spacing w:line="240" w:lineRule="auto"/>
              <w:jc w:val="left"/>
              <w:rPr>
                <w:rFonts w:ascii="Times New Roman" w:eastAsiaTheme="minorHAnsi" w:hAnsi="Times New Roman"/>
                <w:b/>
                <w:bCs/>
                <w:sz w:val="24"/>
                <w:szCs w:val="24"/>
                <w:lang w:eastAsia="en-US"/>
              </w:rPr>
            </w:pPr>
          </w:p>
        </w:tc>
      </w:tr>
      <w:tr w:rsidR="000C1E0E" w14:paraId="283AB6AC" w14:textId="77777777" w:rsidTr="0098752B">
        <w:trPr>
          <w:trHeight w:val="345"/>
          <w:jc w:val="center"/>
        </w:trPr>
        <w:tc>
          <w:tcPr>
            <w:tcW w:w="1833" w:type="dxa"/>
            <w:tcBorders>
              <w:top w:val="nil"/>
              <w:left w:val="single" w:sz="8" w:space="0" w:color="auto"/>
              <w:bottom w:val="single" w:sz="8" w:space="0" w:color="auto"/>
              <w:right w:val="single" w:sz="8" w:space="0" w:color="auto"/>
            </w:tcBorders>
            <w:vAlign w:val="center"/>
            <w:hideMark/>
          </w:tcPr>
          <w:p w14:paraId="712D46D0" w14:textId="77777777" w:rsidR="000C1E0E" w:rsidRDefault="000C1E0E" w:rsidP="0098752B">
            <w:pPr>
              <w:spacing w:after="200" w:line="360" w:lineRule="auto"/>
              <w:jc w:val="center"/>
              <w:rPr>
                <w:rFonts w:ascii="Times New Roman" w:eastAsiaTheme="minorHAnsi" w:hAnsi="Times New Roman"/>
                <w:sz w:val="24"/>
                <w:szCs w:val="24"/>
                <w:lang w:val="en-US" w:eastAsia="en-US"/>
              </w:rPr>
            </w:pPr>
            <w:r>
              <w:rPr>
                <w:rFonts w:ascii="Times New Roman" w:eastAsiaTheme="minorHAnsi" w:hAnsi="Times New Roman"/>
                <w:sz w:val="24"/>
                <w:szCs w:val="24"/>
                <w:lang w:val="en-US" w:eastAsia="en-US"/>
              </w:rPr>
              <w:t>AA+(RU), AA(RU), AA-(RU)</w:t>
            </w:r>
          </w:p>
        </w:tc>
        <w:tc>
          <w:tcPr>
            <w:tcW w:w="1287" w:type="dxa"/>
            <w:tcBorders>
              <w:top w:val="nil"/>
              <w:left w:val="nil"/>
              <w:bottom w:val="single" w:sz="8" w:space="0" w:color="auto"/>
              <w:right w:val="single" w:sz="8" w:space="0" w:color="auto"/>
            </w:tcBorders>
            <w:vAlign w:val="center"/>
            <w:hideMark/>
          </w:tcPr>
          <w:p w14:paraId="71028276" w14:textId="77777777" w:rsidR="000C1E0E" w:rsidRDefault="000C1E0E" w:rsidP="0098752B">
            <w:pPr>
              <w:spacing w:after="200" w:line="360" w:lineRule="auto"/>
              <w:jc w:val="center"/>
              <w:rPr>
                <w:rFonts w:ascii="Times New Roman" w:eastAsiaTheme="minorHAnsi" w:hAnsi="Times New Roman"/>
                <w:sz w:val="24"/>
                <w:szCs w:val="24"/>
                <w:lang w:eastAsia="en-US"/>
              </w:rPr>
            </w:pPr>
            <w:r>
              <w:rPr>
                <w:rFonts w:ascii="Times New Roman" w:eastAsiaTheme="minorHAnsi" w:hAnsi="Times New Roman"/>
                <w:sz w:val="24"/>
                <w:szCs w:val="24"/>
                <w:lang w:eastAsia="en-US"/>
              </w:rPr>
              <w:t>ruAA+, ruAA</w:t>
            </w:r>
          </w:p>
        </w:tc>
        <w:tc>
          <w:tcPr>
            <w:tcW w:w="1691" w:type="dxa"/>
            <w:tcBorders>
              <w:top w:val="nil"/>
              <w:left w:val="nil"/>
              <w:bottom w:val="single" w:sz="8" w:space="0" w:color="auto"/>
              <w:right w:val="single" w:sz="8" w:space="0" w:color="auto"/>
            </w:tcBorders>
            <w:noWrap/>
            <w:vAlign w:val="center"/>
            <w:hideMark/>
          </w:tcPr>
          <w:p w14:paraId="0853E507" w14:textId="77777777" w:rsidR="000C1E0E" w:rsidRDefault="000C1E0E" w:rsidP="0098752B">
            <w:pPr>
              <w:spacing w:after="200" w:line="360" w:lineRule="auto"/>
              <w:jc w:val="center"/>
              <w:rPr>
                <w:rFonts w:ascii="Times New Roman" w:eastAsiaTheme="minorHAnsi" w:hAnsi="Times New Roman"/>
                <w:sz w:val="24"/>
                <w:szCs w:val="24"/>
                <w:lang w:eastAsia="en-US"/>
              </w:rPr>
            </w:pPr>
            <w:r>
              <w:rPr>
                <w:rFonts w:ascii="Times New Roman" w:eastAsiaTheme="minorHAnsi" w:hAnsi="Times New Roman"/>
                <w:sz w:val="24"/>
                <w:szCs w:val="24"/>
                <w:lang w:eastAsia="en-US"/>
              </w:rPr>
              <w:t>Ва1</w:t>
            </w:r>
          </w:p>
        </w:tc>
        <w:tc>
          <w:tcPr>
            <w:tcW w:w="1700" w:type="dxa"/>
            <w:tcBorders>
              <w:top w:val="nil"/>
              <w:left w:val="nil"/>
              <w:bottom w:val="single" w:sz="8" w:space="0" w:color="auto"/>
              <w:right w:val="single" w:sz="8" w:space="0" w:color="auto"/>
            </w:tcBorders>
            <w:vAlign w:val="center"/>
            <w:hideMark/>
          </w:tcPr>
          <w:p w14:paraId="1585F046" w14:textId="77777777" w:rsidR="000C1E0E" w:rsidRDefault="000C1E0E" w:rsidP="0098752B">
            <w:pPr>
              <w:spacing w:after="200" w:line="360" w:lineRule="auto"/>
              <w:jc w:val="center"/>
              <w:rPr>
                <w:rFonts w:ascii="Times New Roman" w:eastAsiaTheme="minorHAnsi" w:hAnsi="Times New Roman"/>
                <w:sz w:val="24"/>
                <w:szCs w:val="24"/>
                <w:lang w:eastAsia="en-US"/>
              </w:rPr>
            </w:pPr>
            <w:r>
              <w:rPr>
                <w:rFonts w:ascii="Times New Roman" w:eastAsiaTheme="minorHAnsi" w:hAnsi="Times New Roman"/>
                <w:sz w:val="24"/>
                <w:szCs w:val="24"/>
                <w:lang w:eastAsia="en-US"/>
              </w:rPr>
              <w:t>ВВ+</w:t>
            </w:r>
          </w:p>
        </w:tc>
        <w:tc>
          <w:tcPr>
            <w:tcW w:w="1701" w:type="dxa"/>
            <w:tcBorders>
              <w:top w:val="nil"/>
              <w:left w:val="nil"/>
              <w:bottom w:val="single" w:sz="8" w:space="0" w:color="auto"/>
              <w:right w:val="single" w:sz="8" w:space="0" w:color="auto"/>
            </w:tcBorders>
            <w:noWrap/>
            <w:vAlign w:val="center"/>
            <w:hideMark/>
          </w:tcPr>
          <w:p w14:paraId="4E5F5FC8" w14:textId="77777777" w:rsidR="000C1E0E" w:rsidRDefault="000C1E0E" w:rsidP="0098752B">
            <w:pPr>
              <w:spacing w:after="200" w:line="360" w:lineRule="auto"/>
              <w:jc w:val="center"/>
              <w:rPr>
                <w:rFonts w:ascii="Times New Roman" w:eastAsiaTheme="minorHAnsi" w:hAnsi="Times New Roman"/>
                <w:sz w:val="24"/>
                <w:szCs w:val="24"/>
                <w:lang w:eastAsia="en-US"/>
              </w:rPr>
            </w:pPr>
            <w:r>
              <w:rPr>
                <w:rFonts w:ascii="Times New Roman" w:eastAsiaTheme="minorHAnsi" w:hAnsi="Times New Roman"/>
                <w:sz w:val="24"/>
                <w:szCs w:val="24"/>
                <w:lang w:eastAsia="en-US"/>
              </w:rPr>
              <w:t>ВВ+</w:t>
            </w:r>
          </w:p>
        </w:tc>
        <w:tc>
          <w:tcPr>
            <w:tcW w:w="1419" w:type="dxa"/>
            <w:vMerge w:val="restart"/>
            <w:tcBorders>
              <w:top w:val="single" w:sz="4" w:space="0" w:color="auto"/>
              <w:left w:val="single" w:sz="8" w:space="0" w:color="auto"/>
              <w:bottom w:val="single" w:sz="8" w:space="0" w:color="000000"/>
              <w:right w:val="single" w:sz="8" w:space="0" w:color="auto"/>
            </w:tcBorders>
            <w:vAlign w:val="center"/>
            <w:hideMark/>
          </w:tcPr>
          <w:p w14:paraId="3BEA57E5" w14:textId="77777777" w:rsidR="000C1E0E" w:rsidRDefault="000C1E0E" w:rsidP="0098752B">
            <w:pPr>
              <w:spacing w:after="200" w:line="360" w:lineRule="auto"/>
              <w:jc w:val="center"/>
              <w:rPr>
                <w:rFonts w:ascii="Times New Roman" w:eastAsiaTheme="minorHAnsi" w:hAnsi="Times New Roman"/>
                <w:b/>
                <w:bCs/>
                <w:sz w:val="24"/>
                <w:szCs w:val="24"/>
                <w:lang w:eastAsia="en-US"/>
              </w:rPr>
            </w:pPr>
            <w:r>
              <w:rPr>
                <w:rFonts w:ascii="Times New Roman" w:eastAsiaTheme="minorHAnsi" w:hAnsi="Times New Roman"/>
                <w:b/>
                <w:bCs/>
                <w:sz w:val="24"/>
                <w:szCs w:val="24"/>
                <w:lang w:eastAsia="en-US"/>
              </w:rPr>
              <w:t>Рейтинговая группа II</w:t>
            </w:r>
          </w:p>
        </w:tc>
      </w:tr>
      <w:tr w:rsidR="000C1E0E" w14:paraId="7A516AD3" w14:textId="77777777" w:rsidTr="0098752B">
        <w:trPr>
          <w:trHeight w:val="345"/>
          <w:jc w:val="center"/>
        </w:trPr>
        <w:tc>
          <w:tcPr>
            <w:tcW w:w="1833" w:type="dxa"/>
            <w:tcBorders>
              <w:top w:val="nil"/>
              <w:left w:val="single" w:sz="8" w:space="0" w:color="auto"/>
              <w:bottom w:val="single" w:sz="8" w:space="0" w:color="auto"/>
              <w:right w:val="single" w:sz="8" w:space="0" w:color="auto"/>
            </w:tcBorders>
            <w:vAlign w:val="center"/>
            <w:hideMark/>
          </w:tcPr>
          <w:p w14:paraId="6F7EAD16" w14:textId="77777777" w:rsidR="000C1E0E" w:rsidRDefault="000C1E0E" w:rsidP="0098752B">
            <w:pPr>
              <w:spacing w:after="200" w:line="360" w:lineRule="auto"/>
              <w:jc w:val="center"/>
              <w:rPr>
                <w:rFonts w:ascii="Times New Roman" w:eastAsiaTheme="minorHAnsi" w:hAnsi="Times New Roman"/>
                <w:sz w:val="24"/>
                <w:szCs w:val="24"/>
                <w:lang w:eastAsia="en-US"/>
              </w:rPr>
            </w:pPr>
            <w:r>
              <w:rPr>
                <w:rFonts w:ascii="Times New Roman" w:eastAsiaTheme="minorHAnsi" w:hAnsi="Times New Roman"/>
                <w:sz w:val="24"/>
                <w:szCs w:val="24"/>
                <w:lang w:eastAsia="en-US"/>
              </w:rPr>
              <w:t>A+(RU), A(RU)</w:t>
            </w:r>
          </w:p>
        </w:tc>
        <w:tc>
          <w:tcPr>
            <w:tcW w:w="1287" w:type="dxa"/>
            <w:tcBorders>
              <w:top w:val="nil"/>
              <w:left w:val="nil"/>
              <w:bottom w:val="single" w:sz="8" w:space="0" w:color="auto"/>
              <w:right w:val="single" w:sz="8" w:space="0" w:color="auto"/>
            </w:tcBorders>
            <w:vAlign w:val="center"/>
            <w:hideMark/>
          </w:tcPr>
          <w:p w14:paraId="69C32591" w14:textId="77777777" w:rsidR="000C1E0E" w:rsidRDefault="000C1E0E" w:rsidP="0098752B">
            <w:pPr>
              <w:spacing w:after="200" w:line="360" w:lineRule="auto"/>
              <w:jc w:val="center"/>
              <w:rPr>
                <w:rFonts w:ascii="Times New Roman" w:eastAsiaTheme="minorHAnsi" w:hAnsi="Times New Roman"/>
                <w:sz w:val="24"/>
                <w:szCs w:val="24"/>
                <w:lang w:eastAsia="en-US"/>
              </w:rPr>
            </w:pPr>
            <w:r>
              <w:rPr>
                <w:rFonts w:ascii="Times New Roman" w:eastAsiaTheme="minorHAnsi" w:hAnsi="Times New Roman"/>
                <w:sz w:val="24"/>
                <w:szCs w:val="24"/>
                <w:lang w:eastAsia="en-US"/>
              </w:rPr>
              <w:t>ruAA-, ruA+</w:t>
            </w:r>
          </w:p>
        </w:tc>
        <w:tc>
          <w:tcPr>
            <w:tcW w:w="1691" w:type="dxa"/>
            <w:tcBorders>
              <w:top w:val="nil"/>
              <w:left w:val="nil"/>
              <w:bottom w:val="single" w:sz="8" w:space="0" w:color="auto"/>
              <w:right w:val="single" w:sz="8" w:space="0" w:color="auto"/>
            </w:tcBorders>
            <w:noWrap/>
            <w:vAlign w:val="center"/>
            <w:hideMark/>
          </w:tcPr>
          <w:p w14:paraId="7E852030" w14:textId="77777777" w:rsidR="000C1E0E" w:rsidRDefault="000C1E0E" w:rsidP="0098752B">
            <w:pPr>
              <w:spacing w:after="200" w:line="360" w:lineRule="auto"/>
              <w:jc w:val="center"/>
              <w:rPr>
                <w:rFonts w:ascii="Times New Roman" w:eastAsiaTheme="minorHAnsi" w:hAnsi="Times New Roman"/>
                <w:sz w:val="24"/>
                <w:szCs w:val="24"/>
                <w:lang w:eastAsia="en-US"/>
              </w:rPr>
            </w:pPr>
            <w:r>
              <w:rPr>
                <w:rFonts w:ascii="Times New Roman" w:eastAsiaTheme="minorHAnsi" w:hAnsi="Times New Roman"/>
                <w:sz w:val="24"/>
                <w:szCs w:val="24"/>
                <w:lang w:eastAsia="en-US"/>
              </w:rPr>
              <w:t>Ва2</w:t>
            </w:r>
          </w:p>
        </w:tc>
        <w:tc>
          <w:tcPr>
            <w:tcW w:w="1700" w:type="dxa"/>
            <w:tcBorders>
              <w:top w:val="nil"/>
              <w:left w:val="nil"/>
              <w:bottom w:val="single" w:sz="8" w:space="0" w:color="auto"/>
              <w:right w:val="single" w:sz="8" w:space="0" w:color="auto"/>
            </w:tcBorders>
            <w:vAlign w:val="center"/>
            <w:hideMark/>
          </w:tcPr>
          <w:p w14:paraId="5430BC96" w14:textId="77777777" w:rsidR="000C1E0E" w:rsidRDefault="000C1E0E" w:rsidP="0098752B">
            <w:pPr>
              <w:spacing w:after="200" w:line="360" w:lineRule="auto"/>
              <w:jc w:val="center"/>
              <w:rPr>
                <w:rFonts w:ascii="Times New Roman" w:eastAsiaTheme="minorHAnsi" w:hAnsi="Times New Roman"/>
                <w:sz w:val="24"/>
                <w:szCs w:val="24"/>
                <w:lang w:eastAsia="en-US"/>
              </w:rPr>
            </w:pPr>
            <w:r>
              <w:rPr>
                <w:rFonts w:ascii="Times New Roman" w:eastAsiaTheme="minorHAnsi" w:hAnsi="Times New Roman"/>
                <w:sz w:val="24"/>
                <w:szCs w:val="24"/>
                <w:lang w:eastAsia="en-US"/>
              </w:rPr>
              <w:t>ВВ</w:t>
            </w:r>
          </w:p>
        </w:tc>
        <w:tc>
          <w:tcPr>
            <w:tcW w:w="1701" w:type="dxa"/>
            <w:tcBorders>
              <w:top w:val="nil"/>
              <w:left w:val="nil"/>
              <w:bottom w:val="single" w:sz="8" w:space="0" w:color="auto"/>
              <w:right w:val="single" w:sz="8" w:space="0" w:color="auto"/>
            </w:tcBorders>
            <w:noWrap/>
            <w:vAlign w:val="center"/>
            <w:hideMark/>
          </w:tcPr>
          <w:p w14:paraId="6CBF9697" w14:textId="77777777" w:rsidR="000C1E0E" w:rsidRDefault="000C1E0E" w:rsidP="0098752B">
            <w:pPr>
              <w:spacing w:after="200" w:line="360" w:lineRule="auto"/>
              <w:jc w:val="center"/>
              <w:rPr>
                <w:rFonts w:ascii="Times New Roman" w:eastAsiaTheme="minorHAnsi" w:hAnsi="Times New Roman"/>
                <w:sz w:val="24"/>
                <w:szCs w:val="24"/>
                <w:lang w:eastAsia="en-US"/>
              </w:rPr>
            </w:pPr>
            <w:r>
              <w:rPr>
                <w:rFonts w:ascii="Times New Roman" w:eastAsiaTheme="minorHAnsi" w:hAnsi="Times New Roman"/>
                <w:sz w:val="24"/>
                <w:szCs w:val="24"/>
                <w:lang w:eastAsia="en-US"/>
              </w:rPr>
              <w:t>ВВ</w:t>
            </w:r>
          </w:p>
        </w:tc>
        <w:tc>
          <w:tcPr>
            <w:tcW w:w="0" w:type="auto"/>
            <w:vMerge/>
            <w:tcBorders>
              <w:top w:val="single" w:sz="4" w:space="0" w:color="auto"/>
              <w:left w:val="single" w:sz="8" w:space="0" w:color="auto"/>
              <w:bottom w:val="single" w:sz="8" w:space="0" w:color="000000"/>
              <w:right w:val="single" w:sz="8" w:space="0" w:color="auto"/>
            </w:tcBorders>
            <w:vAlign w:val="center"/>
            <w:hideMark/>
          </w:tcPr>
          <w:p w14:paraId="0D00FF5E" w14:textId="77777777" w:rsidR="000C1E0E" w:rsidRDefault="000C1E0E" w:rsidP="0098752B">
            <w:pPr>
              <w:spacing w:line="240" w:lineRule="auto"/>
              <w:jc w:val="left"/>
              <w:rPr>
                <w:rFonts w:ascii="Times New Roman" w:eastAsiaTheme="minorHAnsi" w:hAnsi="Times New Roman"/>
                <w:b/>
                <w:bCs/>
                <w:sz w:val="24"/>
                <w:szCs w:val="24"/>
                <w:lang w:eastAsia="en-US"/>
              </w:rPr>
            </w:pPr>
          </w:p>
        </w:tc>
      </w:tr>
      <w:tr w:rsidR="000C1E0E" w14:paraId="69AB4060" w14:textId="77777777" w:rsidTr="0098752B">
        <w:trPr>
          <w:trHeight w:val="345"/>
          <w:jc w:val="center"/>
        </w:trPr>
        <w:tc>
          <w:tcPr>
            <w:tcW w:w="1833" w:type="dxa"/>
            <w:tcBorders>
              <w:top w:val="nil"/>
              <w:left w:val="single" w:sz="8" w:space="0" w:color="auto"/>
              <w:bottom w:val="single" w:sz="8" w:space="0" w:color="auto"/>
              <w:right w:val="single" w:sz="8" w:space="0" w:color="auto"/>
            </w:tcBorders>
            <w:vAlign w:val="center"/>
            <w:hideMark/>
          </w:tcPr>
          <w:p w14:paraId="207C0AE7" w14:textId="77777777" w:rsidR="000C1E0E" w:rsidRDefault="000C1E0E" w:rsidP="0098752B">
            <w:pPr>
              <w:spacing w:after="200" w:line="360" w:lineRule="auto"/>
              <w:jc w:val="center"/>
              <w:rPr>
                <w:rFonts w:ascii="Times New Roman" w:eastAsiaTheme="minorHAnsi" w:hAnsi="Times New Roman"/>
                <w:sz w:val="24"/>
                <w:szCs w:val="24"/>
                <w:lang w:eastAsia="en-US"/>
              </w:rPr>
            </w:pPr>
            <w:r>
              <w:rPr>
                <w:rFonts w:ascii="Times New Roman" w:eastAsiaTheme="minorHAnsi" w:hAnsi="Times New Roman"/>
                <w:sz w:val="24"/>
                <w:szCs w:val="24"/>
                <w:lang w:eastAsia="en-US"/>
              </w:rPr>
              <w:t>A-(RU), BBB+(RU)</w:t>
            </w:r>
          </w:p>
        </w:tc>
        <w:tc>
          <w:tcPr>
            <w:tcW w:w="1287" w:type="dxa"/>
            <w:tcBorders>
              <w:top w:val="nil"/>
              <w:left w:val="nil"/>
              <w:bottom w:val="single" w:sz="8" w:space="0" w:color="auto"/>
              <w:right w:val="single" w:sz="8" w:space="0" w:color="auto"/>
            </w:tcBorders>
            <w:vAlign w:val="center"/>
            <w:hideMark/>
          </w:tcPr>
          <w:p w14:paraId="51BB091F" w14:textId="77777777" w:rsidR="000C1E0E" w:rsidRDefault="000C1E0E" w:rsidP="0098752B">
            <w:pPr>
              <w:spacing w:after="200" w:line="360" w:lineRule="auto"/>
              <w:jc w:val="center"/>
              <w:rPr>
                <w:rFonts w:ascii="Times New Roman" w:eastAsiaTheme="minorHAnsi" w:hAnsi="Times New Roman"/>
                <w:sz w:val="24"/>
                <w:szCs w:val="24"/>
                <w:lang w:eastAsia="en-US"/>
              </w:rPr>
            </w:pPr>
            <w:r>
              <w:rPr>
                <w:rFonts w:ascii="Times New Roman" w:eastAsiaTheme="minorHAnsi" w:hAnsi="Times New Roman"/>
                <w:sz w:val="24"/>
                <w:szCs w:val="24"/>
                <w:lang w:eastAsia="en-US"/>
              </w:rPr>
              <w:t>ruA, ruA-, ruBBB+</w:t>
            </w:r>
          </w:p>
        </w:tc>
        <w:tc>
          <w:tcPr>
            <w:tcW w:w="1691" w:type="dxa"/>
            <w:tcBorders>
              <w:top w:val="nil"/>
              <w:left w:val="nil"/>
              <w:bottom w:val="single" w:sz="8" w:space="0" w:color="auto"/>
              <w:right w:val="single" w:sz="8" w:space="0" w:color="auto"/>
            </w:tcBorders>
            <w:vAlign w:val="center"/>
            <w:hideMark/>
          </w:tcPr>
          <w:p w14:paraId="0F59D5DD" w14:textId="77777777" w:rsidR="000C1E0E" w:rsidRDefault="000C1E0E" w:rsidP="0098752B">
            <w:pPr>
              <w:spacing w:after="200" w:line="360" w:lineRule="auto"/>
              <w:jc w:val="center"/>
              <w:rPr>
                <w:rFonts w:ascii="Times New Roman" w:eastAsiaTheme="minorHAnsi" w:hAnsi="Times New Roman"/>
                <w:sz w:val="24"/>
                <w:szCs w:val="24"/>
                <w:lang w:eastAsia="en-US"/>
              </w:rPr>
            </w:pPr>
            <w:r>
              <w:rPr>
                <w:rFonts w:ascii="Times New Roman" w:eastAsiaTheme="minorHAnsi" w:hAnsi="Times New Roman"/>
                <w:sz w:val="24"/>
                <w:szCs w:val="24"/>
                <w:lang w:eastAsia="en-US"/>
              </w:rPr>
              <w:t>Ва3</w:t>
            </w:r>
          </w:p>
        </w:tc>
        <w:tc>
          <w:tcPr>
            <w:tcW w:w="1700" w:type="dxa"/>
            <w:tcBorders>
              <w:top w:val="nil"/>
              <w:left w:val="nil"/>
              <w:bottom w:val="single" w:sz="8" w:space="0" w:color="auto"/>
              <w:right w:val="single" w:sz="8" w:space="0" w:color="auto"/>
            </w:tcBorders>
            <w:vAlign w:val="center"/>
            <w:hideMark/>
          </w:tcPr>
          <w:p w14:paraId="046E2C79" w14:textId="77777777" w:rsidR="000C1E0E" w:rsidRDefault="000C1E0E" w:rsidP="0098752B">
            <w:pPr>
              <w:spacing w:after="200" w:line="360" w:lineRule="auto"/>
              <w:jc w:val="center"/>
              <w:rPr>
                <w:rFonts w:ascii="Times New Roman" w:eastAsiaTheme="minorHAnsi" w:hAnsi="Times New Roman"/>
                <w:sz w:val="24"/>
                <w:szCs w:val="24"/>
                <w:lang w:eastAsia="en-US"/>
              </w:rPr>
            </w:pPr>
            <w:r>
              <w:rPr>
                <w:rFonts w:ascii="Times New Roman" w:eastAsiaTheme="minorHAnsi" w:hAnsi="Times New Roman"/>
                <w:sz w:val="24"/>
                <w:szCs w:val="24"/>
                <w:lang w:eastAsia="en-US"/>
              </w:rPr>
              <w:t>ВВ-</w:t>
            </w:r>
          </w:p>
        </w:tc>
        <w:tc>
          <w:tcPr>
            <w:tcW w:w="1701" w:type="dxa"/>
            <w:tcBorders>
              <w:top w:val="nil"/>
              <w:left w:val="nil"/>
              <w:bottom w:val="single" w:sz="8" w:space="0" w:color="auto"/>
              <w:right w:val="single" w:sz="8" w:space="0" w:color="auto"/>
            </w:tcBorders>
            <w:vAlign w:val="center"/>
            <w:hideMark/>
          </w:tcPr>
          <w:p w14:paraId="11ACBF61" w14:textId="77777777" w:rsidR="000C1E0E" w:rsidRDefault="000C1E0E" w:rsidP="0098752B">
            <w:pPr>
              <w:spacing w:after="200" w:line="360" w:lineRule="auto"/>
              <w:jc w:val="center"/>
              <w:rPr>
                <w:rFonts w:ascii="Times New Roman" w:eastAsiaTheme="minorHAnsi" w:hAnsi="Times New Roman"/>
                <w:sz w:val="24"/>
                <w:szCs w:val="24"/>
                <w:lang w:eastAsia="en-US"/>
              </w:rPr>
            </w:pPr>
            <w:r>
              <w:rPr>
                <w:rFonts w:ascii="Times New Roman" w:eastAsiaTheme="minorHAnsi" w:hAnsi="Times New Roman"/>
                <w:sz w:val="24"/>
                <w:szCs w:val="24"/>
                <w:lang w:eastAsia="en-US"/>
              </w:rPr>
              <w:t>ВВ-</w:t>
            </w:r>
          </w:p>
        </w:tc>
        <w:tc>
          <w:tcPr>
            <w:tcW w:w="0" w:type="auto"/>
            <w:vMerge/>
            <w:tcBorders>
              <w:top w:val="single" w:sz="4" w:space="0" w:color="auto"/>
              <w:left w:val="single" w:sz="8" w:space="0" w:color="auto"/>
              <w:bottom w:val="single" w:sz="8" w:space="0" w:color="000000"/>
              <w:right w:val="single" w:sz="8" w:space="0" w:color="auto"/>
            </w:tcBorders>
            <w:vAlign w:val="center"/>
            <w:hideMark/>
          </w:tcPr>
          <w:p w14:paraId="2B36A02A" w14:textId="77777777" w:rsidR="000C1E0E" w:rsidRDefault="000C1E0E" w:rsidP="0098752B">
            <w:pPr>
              <w:spacing w:line="240" w:lineRule="auto"/>
              <w:jc w:val="left"/>
              <w:rPr>
                <w:rFonts w:ascii="Times New Roman" w:eastAsiaTheme="minorHAnsi" w:hAnsi="Times New Roman"/>
                <w:b/>
                <w:bCs/>
                <w:sz w:val="24"/>
                <w:szCs w:val="24"/>
                <w:lang w:eastAsia="en-US"/>
              </w:rPr>
            </w:pPr>
          </w:p>
        </w:tc>
      </w:tr>
      <w:tr w:rsidR="000C1E0E" w14:paraId="73F4014C" w14:textId="77777777" w:rsidTr="0098752B">
        <w:trPr>
          <w:trHeight w:val="345"/>
          <w:jc w:val="center"/>
        </w:trPr>
        <w:tc>
          <w:tcPr>
            <w:tcW w:w="1833" w:type="dxa"/>
            <w:tcBorders>
              <w:top w:val="nil"/>
              <w:left w:val="single" w:sz="8" w:space="0" w:color="auto"/>
              <w:bottom w:val="single" w:sz="8" w:space="0" w:color="auto"/>
              <w:right w:val="single" w:sz="8" w:space="0" w:color="auto"/>
            </w:tcBorders>
            <w:vAlign w:val="center"/>
            <w:hideMark/>
          </w:tcPr>
          <w:p w14:paraId="69D189E6" w14:textId="77777777" w:rsidR="000C1E0E" w:rsidRDefault="000C1E0E" w:rsidP="0098752B">
            <w:pPr>
              <w:spacing w:after="200" w:line="360" w:lineRule="auto"/>
              <w:jc w:val="center"/>
              <w:rPr>
                <w:rFonts w:ascii="Times New Roman" w:eastAsiaTheme="minorHAnsi" w:hAnsi="Times New Roman"/>
                <w:sz w:val="24"/>
                <w:szCs w:val="24"/>
                <w:lang w:eastAsia="en-US"/>
              </w:rPr>
            </w:pPr>
            <w:r>
              <w:rPr>
                <w:rFonts w:ascii="Times New Roman" w:eastAsiaTheme="minorHAnsi" w:hAnsi="Times New Roman"/>
                <w:sz w:val="24"/>
                <w:szCs w:val="24"/>
                <w:lang w:eastAsia="en-US"/>
              </w:rPr>
              <w:t>BBB(RU), BBB-(RU)</w:t>
            </w:r>
          </w:p>
        </w:tc>
        <w:tc>
          <w:tcPr>
            <w:tcW w:w="1287" w:type="dxa"/>
            <w:tcBorders>
              <w:top w:val="nil"/>
              <w:left w:val="nil"/>
              <w:bottom w:val="single" w:sz="8" w:space="0" w:color="auto"/>
              <w:right w:val="single" w:sz="8" w:space="0" w:color="auto"/>
            </w:tcBorders>
            <w:vAlign w:val="center"/>
            <w:hideMark/>
          </w:tcPr>
          <w:p w14:paraId="26A43365" w14:textId="77777777" w:rsidR="000C1E0E" w:rsidRDefault="000C1E0E" w:rsidP="0098752B">
            <w:pPr>
              <w:spacing w:after="200" w:line="360" w:lineRule="auto"/>
              <w:jc w:val="center"/>
              <w:rPr>
                <w:rFonts w:ascii="Times New Roman" w:eastAsiaTheme="minorHAnsi" w:hAnsi="Times New Roman"/>
                <w:sz w:val="24"/>
                <w:szCs w:val="24"/>
                <w:lang w:eastAsia="en-US"/>
              </w:rPr>
            </w:pPr>
            <w:r>
              <w:rPr>
                <w:rFonts w:ascii="Times New Roman" w:eastAsiaTheme="minorHAnsi" w:hAnsi="Times New Roman"/>
                <w:sz w:val="24"/>
                <w:szCs w:val="24"/>
                <w:lang w:eastAsia="en-US"/>
              </w:rPr>
              <w:t>ruBBB</w:t>
            </w:r>
          </w:p>
        </w:tc>
        <w:tc>
          <w:tcPr>
            <w:tcW w:w="1691" w:type="dxa"/>
            <w:tcBorders>
              <w:top w:val="nil"/>
              <w:left w:val="nil"/>
              <w:bottom w:val="single" w:sz="8" w:space="0" w:color="auto"/>
              <w:right w:val="single" w:sz="8" w:space="0" w:color="auto"/>
            </w:tcBorders>
            <w:vAlign w:val="center"/>
            <w:hideMark/>
          </w:tcPr>
          <w:p w14:paraId="04546051" w14:textId="77777777" w:rsidR="000C1E0E" w:rsidRDefault="000C1E0E" w:rsidP="0098752B">
            <w:pPr>
              <w:spacing w:after="200" w:line="360" w:lineRule="auto"/>
              <w:jc w:val="center"/>
              <w:rPr>
                <w:rFonts w:ascii="Times New Roman" w:eastAsiaTheme="minorHAnsi" w:hAnsi="Times New Roman"/>
                <w:sz w:val="24"/>
                <w:szCs w:val="24"/>
                <w:lang w:eastAsia="en-US"/>
              </w:rPr>
            </w:pPr>
            <w:r>
              <w:rPr>
                <w:rFonts w:ascii="Times New Roman" w:eastAsiaTheme="minorHAnsi" w:hAnsi="Times New Roman"/>
                <w:sz w:val="24"/>
                <w:szCs w:val="24"/>
                <w:lang w:eastAsia="en-US"/>
              </w:rPr>
              <w:t>В1</w:t>
            </w:r>
          </w:p>
        </w:tc>
        <w:tc>
          <w:tcPr>
            <w:tcW w:w="1700" w:type="dxa"/>
            <w:tcBorders>
              <w:top w:val="nil"/>
              <w:left w:val="nil"/>
              <w:bottom w:val="single" w:sz="8" w:space="0" w:color="auto"/>
              <w:right w:val="single" w:sz="8" w:space="0" w:color="auto"/>
            </w:tcBorders>
            <w:vAlign w:val="center"/>
            <w:hideMark/>
          </w:tcPr>
          <w:p w14:paraId="33FFC6DD" w14:textId="77777777" w:rsidR="000C1E0E" w:rsidRDefault="000C1E0E" w:rsidP="0098752B">
            <w:pPr>
              <w:spacing w:after="200" w:line="360" w:lineRule="auto"/>
              <w:jc w:val="center"/>
              <w:rPr>
                <w:rFonts w:ascii="Times New Roman" w:eastAsiaTheme="minorHAnsi" w:hAnsi="Times New Roman"/>
                <w:sz w:val="24"/>
                <w:szCs w:val="24"/>
                <w:lang w:eastAsia="en-US"/>
              </w:rPr>
            </w:pPr>
            <w:r>
              <w:rPr>
                <w:rFonts w:ascii="Times New Roman" w:eastAsiaTheme="minorHAnsi" w:hAnsi="Times New Roman"/>
                <w:sz w:val="24"/>
                <w:szCs w:val="24"/>
                <w:lang w:eastAsia="en-US"/>
              </w:rPr>
              <w:t>В+</w:t>
            </w:r>
          </w:p>
        </w:tc>
        <w:tc>
          <w:tcPr>
            <w:tcW w:w="1701" w:type="dxa"/>
            <w:tcBorders>
              <w:top w:val="nil"/>
              <w:left w:val="nil"/>
              <w:bottom w:val="single" w:sz="8" w:space="0" w:color="auto"/>
              <w:right w:val="single" w:sz="8" w:space="0" w:color="auto"/>
            </w:tcBorders>
            <w:vAlign w:val="center"/>
            <w:hideMark/>
          </w:tcPr>
          <w:p w14:paraId="767CD20A" w14:textId="77777777" w:rsidR="000C1E0E" w:rsidRDefault="000C1E0E" w:rsidP="0098752B">
            <w:pPr>
              <w:spacing w:after="200" w:line="360" w:lineRule="auto"/>
              <w:jc w:val="center"/>
              <w:rPr>
                <w:rFonts w:ascii="Times New Roman" w:eastAsiaTheme="minorHAnsi" w:hAnsi="Times New Roman"/>
                <w:sz w:val="24"/>
                <w:szCs w:val="24"/>
                <w:lang w:eastAsia="en-US"/>
              </w:rPr>
            </w:pPr>
            <w:r>
              <w:rPr>
                <w:rFonts w:ascii="Times New Roman" w:eastAsiaTheme="minorHAnsi" w:hAnsi="Times New Roman"/>
                <w:sz w:val="24"/>
                <w:szCs w:val="24"/>
                <w:lang w:eastAsia="en-US"/>
              </w:rPr>
              <w:t>В+</w:t>
            </w:r>
          </w:p>
        </w:tc>
        <w:tc>
          <w:tcPr>
            <w:tcW w:w="1419" w:type="dxa"/>
            <w:vMerge w:val="restart"/>
            <w:tcBorders>
              <w:top w:val="nil"/>
              <w:left w:val="single" w:sz="8" w:space="0" w:color="auto"/>
              <w:bottom w:val="single" w:sz="8" w:space="0" w:color="000000"/>
              <w:right w:val="single" w:sz="8" w:space="0" w:color="auto"/>
            </w:tcBorders>
            <w:vAlign w:val="center"/>
            <w:hideMark/>
          </w:tcPr>
          <w:p w14:paraId="2D92CDF5" w14:textId="77777777" w:rsidR="000C1E0E" w:rsidRDefault="000C1E0E" w:rsidP="0098752B">
            <w:pPr>
              <w:spacing w:after="200" w:line="360" w:lineRule="auto"/>
              <w:jc w:val="center"/>
              <w:rPr>
                <w:rFonts w:ascii="Times New Roman" w:eastAsiaTheme="minorHAnsi" w:hAnsi="Times New Roman"/>
                <w:b/>
                <w:bCs/>
                <w:sz w:val="24"/>
                <w:szCs w:val="24"/>
                <w:lang w:val="en-US" w:eastAsia="en-US"/>
              </w:rPr>
            </w:pPr>
            <w:r>
              <w:rPr>
                <w:rFonts w:ascii="Times New Roman" w:eastAsiaTheme="minorHAnsi" w:hAnsi="Times New Roman"/>
                <w:b/>
                <w:bCs/>
                <w:sz w:val="24"/>
                <w:szCs w:val="24"/>
                <w:lang w:eastAsia="en-US"/>
              </w:rPr>
              <w:t>Рейтинговая группа II</w:t>
            </w:r>
            <w:r>
              <w:rPr>
                <w:rFonts w:ascii="Times New Roman" w:eastAsiaTheme="minorHAnsi" w:hAnsi="Times New Roman"/>
                <w:b/>
                <w:bCs/>
                <w:sz w:val="24"/>
                <w:szCs w:val="24"/>
                <w:lang w:val="en-US" w:eastAsia="en-US"/>
              </w:rPr>
              <w:t>I</w:t>
            </w:r>
          </w:p>
        </w:tc>
      </w:tr>
      <w:tr w:rsidR="000C1E0E" w14:paraId="68DB888A" w14:textId="77777777" w:rsidTr="0098752B">
        <w:trPr>
          <w:trHeight w:val="345"/>
          <w:jc w:val="center"/>
        </w:trPr>
        <w:tc>
          <w:tcPr>
            <w:tcW w:w="1833" w:type="dxa"/>
            <w:tcBorders>
              <w:top w:val="nil"/>
              <w:left w:val="single" w:sz="8" w:space="0" w:color="auto"/>
              <w:bottom w:val="single" w:sz="8" w:space="0" w:color="auto"/>
              <w:right w:val="single" w:sz="8" w:space="0" w:color="auto"/>
            </w:tcBorders>
            <w:vAlign w:val="center"/>
            <w:hideMark/>
          </w:tcPr>
          <w:p w14:paraId="72E2C3E2" w14:textId="77777777" w:rsidR="000C1E0E" w:rsidRDefault="000C1E0E" w:rsidP="0098752B">
            <w:pPr>
              <w:spacing w:after="200" w:line="360" w:lineRule="auto"/>
              <w:jc w:val="center"/>
              <w:rPr>
                <w:rFonts w:ascii="Times New Roman" w:eastAsiaTheme="minorHAnsi" w:hAnsi="Times New Roman"/>
                <w:sz w:val="24"/>
                <w:szCs w:val="24"/>
                <w:lang w:eastAsia="en-US"/>
              </w:rPr>
            </w:pPr>
            <w:r>
              <w:rPr>
                <w:rFonts w:ascii="Times New Roman" w:eastAsiaTheme="minorHAnsi" w:hAnsi="Times New Roman"/>
                <w:sz w:val="24"/>
                <w:szCs w:val="24"/>
                <w:lang w:eastAsia="en-US"/>
              </w:rPr>
              <w:t>BB+(RU)</w:t>
            </w:r>
          </w:p>
        </w:tc>
        <w:tc>
          <w:tcPr>
            <w:tcW w:w="1287" w:type="dxa"/>
            <w:tcBorders>
              <w:top w:val="nil"/>
              <w:left w:val="nil"/>
              <w:bottom w:val="single" w:sz="8" w:space="0" w:color="auto"/>
              <w:right w:val="single" w:sz="8" w:space="0" w:color="auto"/>
            </w:tcBorders>
            <w:vAlign w:val="center"/>
            <w:hideMark/>
          </w:tcPr>
          <w:p w14:paraId="008197F0" w14:textId="77777777" w:rsidR="000C1E0E" w:rsidRDefault="000C1E0E" w:rsidP="0098752B">
            <w:pPr>
              <w:spacing w:after="200" w:line="360" w:lineRule="auto"/>
              <w:jc w:val="center"/>
              <w:rPr>
                <w:rFonts w:ascii="Times New Roman" w:eastAsiaTheme="minorHAnsi" w:hAnsi="Times New Roman"/>
                <w:sz w:val="24"/>
                <w:szCs w:val="24"/>
                <w:lang w:eastAsia="en-US"/>
              </w:rPr>
            </w:pPr>
            <w:r>
              <w:rPr>
                <w:rFonts w:ascii="Times New Roman" w:eastAsiaTheme="minorHAnsi" w:hAnsi="Times New Roman"/>
                <w:sz w:val="24"/>
                <w:szCs w:val="24"/>
                <w:lang w:eastAsia="en-US"/>
              </w:rPr>
              <w:t>ruBBB-, ruBB+</w:t>
            </w:r>
          </w:p>
        </w:tc>
        <w:tc>
          <w:tcPr>
            <w:tcW w:w="1691" w:type="dxa"/>
            <w:tcBorders>
              <w:top w:val="nil"/>
              <w:left w:val="nil"/>
              <w:bottom w:val="single" w:sz="8" w:space="0" w:color="auto"/>
              <w:right w:val="single" w:sz="8" w:space="0" w:color="auto"/>
            </w:tcBorders>
            <w:vAlign w:val="center"/>
            <w:hideMark/>
          </w:tcPr>
          <w:p w14:paraId="06AE75C8" w14:textId="77777777" w:rsidR="000C1E0E" w:rsidRDefault="000C1E0E" w:rsidP="0098752B">
            <w:pPr>
              <w:spacing w:after="200" w:line="360" w:lineRule="auto"/>
              <w:jc w:val="center"/>
              <w:rPr>
                <w:rFonts w:ascii="Times New Roman" w:eastAsiaTheme="minorHAnsi" w:hAnsi="Times New Roman"/>
                <w:sz w:val="24"/>
                <w:szCs w:val="24"/>
                <w:lang w:eastAsia="en-US"/>
              </w:rPr>
            </w:pPr>
            <w:r>
              <w:rPr>
                <w:rFonts w:ascii="Times New Roman" w:eastAsiaTheme="minorHAnsi" w:hAnsi="Times New Roman"/>
                <w:sz w:val="24"/>
                <w:szCs w:val="24"/>
                <w:lang w:eastAsia="en-US"/>
              </w:rPr>
              <w:t>В2</w:t>
            </w:r>
          </w:p>
        </w:tc>
        <w:tc>
          <w:tcPr>
            <w:tcW w:w="1700" w:type="dxa"/>
            <w:tcBorders>
              <w:top w:val="nil"/>
              <w:left w:val="nil"/>
              <w:bottom w:val="single" w:sz="8" w:space="0" w:color="auto"/>
              <w:right w:val="single" w:sz="8" w:space="0" w:color="auto"/>
            </w:tcBorders>
            <w:vAlign w:val="center"/>
            <w:hideMark/>
          </w:tcPr>
          <w:p w14:paraId="6DE937D8" w14:textId="77777777" w:rsidR="000C1E0E" w:rsidRDefault="000C1E0E" w:rsidP="0098752B">
            <w:pPr>
              <w:spacing w:after="200" w:line="360" w:lineRule="auto"/>
              <w:jc w:val="center"/>
              <w:rPr>
                <w:rFonts w:ascii="Times New Roman" w:eastAsiaTheme="minorHAnsi" w:hAnsi="Times New Roman"/>
                <w:sz w:val="24"/>
                <w:szCs w:val="24"/>
                <w:lang w:eastAsia="en-US"/>
              </w:rPr>
            </w:pPr>
            <w:r>
              <w:rPr>
                <w:rFonts w:ascii="Times New Roman" w:eastAsiaTheme="minorHAnsi" w:hAnsi="Times New Roman"/>
                <w:sz w:val="24"/>
                <w:szCs w:val="24"/>
                <w:lang w:eastAsia="en-US"/>
              </w:rPr>
              <w:t>В</w:t>
            </w:r>
          </w:p>
        </w:tc>
        <w:tc>
          <w:tcPr>
            <w:tcW w:w="1701" w:type="dxa"/>
            <w:tcBorders>
              <w:top w:val="nil"/>
              <w:left w:val="nil"/>
              <w:bottom w:val="single" w:sz="8" w:space="0" w:color="auto"/>
              <w:right w:val="single" w:sz="8" w:space="0" w:color="auto"/>
            </w:tcBorders>
            <w:vAlign w:val="center"/>
            <w:hideMark/>
          </w:tcPr>
          <w:p w14:paraId="27105C08" w14:textId="77777777" w:rsidR="000C1E0E" w:rsidRDefault="000C1E0E" w:rsidP="0098752B">
            <w:pPr>
              <w:spacing w:after="200" w:line="360" w:lineRule="auto"/>
              <w:jc w:val="center"/>
              <w:rPr>
                <w:rFonts w:ascii="Times New Roman" w:eastAsiaTheme="minorHAnsi" w:hAnsi="Times New Roman"/>
                <w:sz w:val="24"/>
                <w:szCs w:val="24"/>
                <w:lang w:eastAsia="en-US"/>
              </w:rPr>
            </w:pPr>
            <w:r>
              <w:rPr>
                <w:rFonts w:ascii="Times New Roman" w:eastAsiaTheme="minorHAnsi" w:hAnsi="Times New Roman"/>
                <w:sz w:val="24"/>
                <w:szCs w:val="24"/>
                <w:lang w:eastAsia="en-US"/>
              </w:rPr>
              <w:t>В</w:t>
            </w:r>
          </w:p>
        </w:tc>
        <w:tc>
          <w:tcPr>
            <w:tcW w:w="0" w:type="auto"/>
            <w:vMerge/>
            <w:tcBorders>
              <w:top w:val="nil"/>
              <w:left w:val="single" w:sz="8" w:space="0" w:color="auto"/>
              <w:bottom w:val="single" w:sz="8" w:space="0" w:color="000000"/>
              <w:right w:val="single" w:sz="8" w:space="0" w:color="auto"/>
            </w:tcBorders>
            <w:vAlign w:val="center"/>
            <w:hideMark/>
          </w:tcPr>
          <w:p w14:paraId="39A7790C" w14:textId="77777777" w:rsidR="000C1E0E" w:rsidRDefault="000C1E0E" w:rsidP="0098752B">
            <w:pPr>
              <w:spacing w:line="240" w:lineRule="auto"/>
              <w:jc w:val="left"/>
              <w:rPr>
                <w:rFonts w:ascii="Times New Roman" w:eastAsiaTheme="minorHAnsi" w:hAnsi="Times New Roman"/>
                <w:b/>
                <w:bCs/>
                <w:sz w:val="24"/>
                <w:szCs w:val="24"/>
                <w:lang w:val="en-US" w:eastAsia="en-US"/>
              </w:rPr>
            </w:pPr>
          </w:p>
        </w:tc>
      </w:tr>
      <w:tr w:rsidR="000C1E0E" w14:paraId="7B1C539B" w14:textId="77777777" w:rsidTr="0098752B">
        <w:trPr>
          <w:trHeight w:val="345"/>
          <w:jc w:val="center"/>
        </w:trPr>
        <w:tc>
          <w:tcPr>
            <w:tcW w:w="1833" w:type="dxa"/>
            <w:tcBorders>
              <w:top w:val="nil"/>
              <w:left w:val="single" w:sz="8" w:space="0" w:color="auto"/>
              <w:bottom w:val="single" w:sz="8" w:space="0" w:color="auto"/>
              <w:right w:val="single" w:sz="8" w:space="0" w:color="auto"/>
            </w:tcBorders>
            <w:vAlign w:val="center"/>
            <w:hideMark/>
          </w:tcPr>
          <w:p w14:paraId="49120567" w14:textId="77777777" w:rsidR="000C1E0E" w:rsidRDefault="000C1E0E" w:rsidP="0098752B">
            <w:pPr>
              <w:spacing w:after="200" w:line="360" w:lineRule="auto"/>
              <w:jc w:val="center"/>
              <w:rPr>
                <w:rFonts w:ascii="Times New Roman" w:eastAsiaTheme="minorHAnsi" w:hAnsi="Times New Roman"/>
                <w:sz w:val="24"/>
                <w:szCs w:val="24"/>
                <w:lang w:eastAsia="en-US"/>
              </w:rPr>
            </w:pPr>
            <w:r>
              <w:rPr>
                <w:rFonts w:ascii="Times New Roman" w:eastAsiaTheme="minorHAnsi" w:hAnsi="Times New Roman"/>
                <w:sz w:val="24"/>
                <w:szCs w:val="24"/>
                <w:lang w:eastAsia="en-US"/>
              </w:rPr>
              <w:t>BB(RU)</w:t>
            </w:r>
          </w:p>
        </w:tc>
        <w:tc>
          <w:tcPr>
            <w:tcW w:w="1287" w:type="dxa"/>
            <w:tcBorders>
              <w:top w:val="nil"/>
              <w:left w:val="nil"/>
              <w:bottom w:val="single" w:sz="8" w:space="0" w:color="auto"/>
              <w:right w:val="single" w:sz="8" w:space="0" w:color="auto"/>
            </w:tcBorders>
            <w:vAlign w:val="center"/>
            <w:hideMark/>
          </w:tcPr>
          <w:p w14:paraId="53661024" w14:textId="77777777" w:rsidR="000C1E0E" w:rsidRDefault="000C1E0E" w:rsidP="0098752B">
            <w:pPr>
              <w:spacing w:after="200" w:line="360" w:lineRule="auto"/>
              <w:jc w:val="center"/>
              <w:rPr>
                <w:rFonts w:ascii="Times New Roman" w:eastAsiaTheme="minorHAnsi" w:hAnsi="Times New Roman"/>
                <w:sz w:val="24"/>
                <w:szCs w:val="24"/>
                <w:lang w:eastAsia="en-US"/>
              </w:rPr>
            </w:pPr>
            <w:r>
              <w:rPr>
                <w:rFonts w:ascii="Times New Roman" w:eastAsiaTheme="minorHAnsi" w:hAnsi="Times New Roman"/>
                <w:sz w:val="24"/>
                <w:szCs w:val="24"/>
                <w:lang w:eastAsia="en-US"/>
              </w:rPr>
              <w:t>ruBB</w:t>
            </w:r>
          </w:p>
        </w:tc>
        <w:tc>
          <w:tcPr>
            <w:tcW w:w="1691" w:type="dxa"/>
            <w:tcBorders>
              <w:top w:val="nil"/>
              <w:left w:val="nil"/>
              <w:bottom w:val="single" w:sz="8" w:space="0" w:color="auto"/>
              <w:right w:val="single" w:sz="8" w:space="0" w:color="auto"/>
            </w:tcBorders>
            <w:vAlign w:val="center"/>
            <w:hideMark/>
          </w:tcPr>
          <w:p w14:paraId="0D86191C" w14:textId="77777777" w:rsidR="000C1E0E" w:rsidRDefault="000C1E0E" w:rsidP="0098752B">
            <w:pPr>
              <w:spacing w:after="200" w:line="360" w:lineRule="auto"/>
              <w:jc w:val="center"/>
              <w:rPr>
                <w:rFonts w:ascii="Times New Roman" w:eastAsiaTheme="minorHAnsi" w:hAnsi="Times New Roman"/>
                <w:sz w:val="24"/>
                <w:szCs w:val="24"/>
                <w:lang w:eastAsia="en-US"/>
              </w:rPr>
            </w:pPr>
            <w:r>
              <w:rPr>
                <w:rFonts w:ascii="Times New Roman" w:eastAsiaTheme="minorHAnsi" w:hAnsi="Times New Roman"/>
                <w:sz w:val="24"/>
                <w:szCs w:val="24"/>
                <w:lang w:eastAsia="en-US"/>
              </w:rPr>
              <w:t>B3</w:t>
            </w:r>
          </w:p>
        </w:tc>
        <w:tc>
          <w:tcPr>
            <w:tcW w:w="1700" w:type="dxa"/>
            <w:tcBorders>
              <w:top w:val="nil"/>
              <w:left w:val="nil"/>
              <w:bottom w:val="single" w:sz="8" w:space="0" w:color="auto"/>
              <w:right w:val="single" w:sz="8" w:space="0" w:color="auto"/>
            </w:tcBorders>
            <w:vAlign w:val="center"/>
            <w:hideMark/>
          </w:tcPr>
          <w:p w14:paraId="6C7E0D74" w14:textId="77777777" w:rsidR="000C1E0E" w:rsidRDefault="000C1E0E" w:rsidP="0098752B">
            <w:pPr>
              <w:spacing w:after="200" w:line="360" w:lineRule="auto"/>
              <w:jc w:val="center"/>
              <w:rPr>
                <w:rFonts w:ascii="Times New Roman" w:eastAsiaTheme="minorHAnsi" w:hAnsi="Times New Roman"/>
                <w:sz w:val="24"/>
                <w:szCs w:val="24"/>
                <w:lang w:eastAsia="en-US"/>
              </w:rPr>
            </w:pPr>
            <w:r>
              <w:rPr>
                <w:rFonts w:ascii="Times New Roman" w:eastAsiaTheme="minorHAnsi" w:hAnsi="Times New Roman"/>
                <w:sz w:val="24"/>
                <w:szCs w:val="24"/>
                <w:lang w:eastAsia="en-US"/>
              </w:rPr>
              <w:t>B-</w:t>
            </w:r>
          </w:p>
        </w:tc>
        <w:tc>
          <w:tcPr>
            <w:tcW w:w="1701" w:type="dxa"/>
            <w:tcBorders>
              <w:top w:val="nil"/>
              <w:left w:val="nil"/>
              <w:bottom w:val="single" w:sz="8" w:space="0" w:color="auto"/>
              <w:right w:val="single" w:sz="8" w:space="0" w:color="auto"/>
            </w:tcBorders>
            <w:vAlign w:val="center"/>
            <w:hideMark/>
          </w:tcPr>
          <w:p w14:paraId="3AD70384" w14:textId="77777777" w:rsidR="000C1E0E" w:rsidRDefault="000C1E0E" w:rsidP="0098752B">
            <w:pPr>
              <w:spacing w:after="200" w:line="360" w:lineRule="auto"/>
              <w:jc w:val="center"/>
              <w:rPr>
                <w:rFonts w:ascii="Times New Roman" w:eastAsiaTheme="minorHAnsi" w:hAnsi="Times New Roman"/>
                <w:sz w:val="24"/>
                <w:szCs w:val="24"/>
                <w:lang w:eastAsia="en-US"/>
              </w:rPr>
            </w:pPr>
            <w:r>
              <w:rPr>
                <w:rFonts w:ascii="Times New Roman" w:eastAsiaTheme="minorHAnsi" w:hAnsi="Times New Roman"/>
                <w:sz w:val="24"/>
                <w:szCs w:val="24"/>
                <w:lang w:eastAsia="en-US"/>
              </w:rPr>
              <w:t>B-</w:t>
            </w:r>
          </w:p>
        </w:tc>
        <w:tc>
          <w:tcPr>
            <w:tcW w:w="0" w:type="auto"/>
            <w:vMerge/>
            <w:tcBorders>
              <w:top w:val="nil"/>
              <w:left w:val="single" w:sz="8" w:space="0" w:color="auto"/>
              <w:bottom w:val="single" w:sz="8" w:space="0" w:color="000000"/>
              <w:right w:val="single" w:sz="8" w:space="0" w:color="auto"/>
            </w:tcBorders>
            <w:vAlign w:val="center"/>
            <w:hideMark/>
          </w:tcPr>
          <w:p w14:paraId="65AEB9D7" w14:textId="77777777" w:rsidR="000C1E0E" w:rsidRDefault="000C1E0E" w:rsidP="0098752B">
            <w:pPr>
              <w:spacing w:line="240" w:lineRule="auto"/>
              <w:jc w:val="left"/>
              <w:rPr>
                <w:rFonts w:ascii="Times New Roman" w:eastAsiaTheme="minorHAnsi" w:hAnsi="Times New Roman"/>
                <w:b/>
                <w:bCs/>
                <w:sz w:val="24"/>
                <w:szCs w:val="24"/>
                <w:lang w:val="en-US" w:eastAsia="en-US"/>
              </w:rPr>
            </w:pPr>
          </w:p>
        </w:tc>
      </w:tr>
      <w:tr w:rsidR="000C1E0E" w14:paraId="54018077" w14:textId="77777777" w:rsidTr="0098752B">
        <w:trPr>
          <w:trHeight w:val="345"/>
          <w:jc w:val="center"/>
        </w:trPr>
        <w:tc>
          <w:tcPr>
            <w:tcW w:w="8212" w:type="dxa"/>
            <w:gridSpan w:val="5"/>
            <w:tcBorders>
              <w:top w:val="single" w:sz="8" w:space="0" w:color="auto"/>
              <w:left w:val="single" w:sz="8" w:space="0" w:color="auto"/>
              <w:bottom w:val="single" w:sz="8" w:space="0" w:color="auto"/>
              <w:right w:val="single" w:sz="8" w:space="0" w:color="000000"/>
            </w:tcBorders>
            <w:vAlign w:val="center"/>
            <w:hideMark/>
          </w:tcPr>
          <w:p w14:paraId="08C04DBC" w14:textId="77777777" w:rsidR="000C1E0E" w:rsidRDefault="000C1E0E" w:rsidP="0098752B">
            <w:pPr>
              <w:spacing w:after="200" w:line="360" w:lineRule="auto"/>
              <w:jc w:val="center"/>
              <w:rPr>
                <w:rFonts w:ascii="Times New Roman" w:eastAsiaTheme="minorHAnsi" w:hAnsi="Times New Roman"/>
                <w:sz w:val="24"/>
                <w:szCs w:val="24"/>
                <w:lang w:eastAsia="en-US"/>
              </w:rPr>
            </w:pPr>
            <w:r>
              <w:rPr>
                <w:rFonts w:ascii="Times New Roman" w:eastAsiaTheme="minorHAnsi" w:hAnsi="Times New Roman"/>
                <w:sz w:val="24"/>
                <w:szCs w:val="24"/>
                <w:lang w:eastAsia="en-US"/>
              </w:rPr>
              <w:t>Более низкий рейтинг / рейтинг отсутствует</w:t>
            </w:r>
          </w:p>
        </w:tc>
        <w:tc>
          <w:tcPr>
            <w:tcW w:w="1419" w:type="dxa"/>
            <w:tcBorders>
              <w:top w:val="nil"/>
              <w:left w:val="nil"/>
              <w:bottom w:val="single" w:sz="8" w:space="0" w:color="auto"/>
              <w:right w:val="single" w:sz="8" w:space="0" w:color="auto"/>
            </w:tcBorders>
            <w:noWrap/>
            <w:vAlign w:val="center"/>
            <w:hideMark/>
          </w:tcPr>
          <w:p w14:paraId="5472D27A" w14:textId="77777777" w:rsidR="000C1E0E" w:rsidRDefault="000C1E0E" w:rsidP="0098752B">
            <w:pPr>
              <w:spacing w:after="200" w:line="360" w:lineRule="auto"/>
              <w:jc w:val="center"/>
              <w:rPr>
                <w:rFonts w:ascii="Times New Roman" w:eastAsiaTheme="minorHAnsi" w:hAnsi="Times New Roman"/>
                <w:b/>
                <w:bCs/>
                <w:sz w:val="24"/>
                <w:szCs w:val="24"/>
                <w:lang w:val="en-US" w:eastAsia="en-US"/>
              </w:rPr>
            </w:pPr>
            <w:r>
              <w:rPr>
                <w:rFonts w:ascii="Times New Roman" w:eastAsiaTheme="minorHAnsi" w:hAnsi="Times New Roman"/>
                <w:b/>
                <w:bCs/>
                <w:sz w:val="24"/>
                <w:szCs w:val="24"/>
                <w:lang w:eastAsia="en-US"/>
              </w:rPr>
              <w:t>Рейтинговая группа I</w:t>
            </w:r>
            <w:r>
              <w:rPr>
                <w:rFonts w:ascii="Times New Roman" w:eastAsiaTheme="minorHAnsi" w:hAnsi="Times New Roman"/>
                <w:b/>
                <w:bCs/>
                <w:sz w:val="24"/>
                <w:szCs w:val="24"/>
                <w:lang w:val="en-US" w:eastAsia="en-US"/>
              </w:rPr>
              <w:t>V</w:t>
            </w:r>
          </w:p>
        </w:tc>
      </w:tr>
    </w:tbl>
    <w:p w14:paraId="58AA2F85" w14:textId="77777777" w:rsidR="000C1E0E" w:rsidRDefault="000C1E0E" w:rsidP="000C1E0E">
      <w:pPr>
        <w:spacing w:after="120" w:line="360" w:lineRule="auto"/>
        <w:jc w:val="left"/>
        <w:rPr>
          <w:rFonts w:ascii="Times New Roman" w:eastAsiaTheme="minorHAnsi" w:hAnsi="Times New Roman"/>
          <w:sz w:val="24"/>
          <w:szCs w:val="24"/>
          <w:lang w:eastAsia="en-US"/>
        </w:rPr>
      </w:pPr>
    </w:p>
    <w:p w14:paraId="13EDD670" w14:textId="77777777" w:rsidR="000C1E0E" w:rsidRDefault="000C1E0E" w:rsidP="000C1E0E">
      <w:pPr>
        <w:spacing w:after="120" w:line="360" w:lineRule="auto"/>
        <w:ind w:firstLine="426"/>
        <w:rPr>
          <w:rFonts w:ascii="Times New Roman" w:eastAsiaTheme="minorHAnsi" w:hAnsi="Times New Roman"/>
          <w:sz w:val="24"/>
          <w:szCs w:val="24"/>
          <w:lang w:eastAsia="en-US"/>
        </w:rPr>
      </w:pPr>
      <w:r>
        <w:rPr>
          <w:rFonts w:ascii="Times New Roman" w:eastAsiaTheme="minorHAnsi" w:hAnsi="Times New Roman"/>
          <w:sz w:val="24"/>
          <w:szCs w:val="24"/>
          <w:lang w:eastAsia="en-US"/>
        </w:rPr>
        <w:t>Кредитный спред для рейтинговых групп рассчитывается на дату определения справедливой стоимости, на основании данных облигационных индексов, раскрываемых ПАО «Московская биржа» по итогам каждого торгового дня. При вычислении кредитного спреда на дату определения справедливой стоимости используется медианное значение кредитного спреда за последние 20 торговых дней включая дату определения справедливой стоимости.</w:t>
      </w:r>
    </w:p>
    <w:p w14:paraId="2648475A" w14:textId="77777777" w:rsidR="000C1E0E" w:rsidRDefault="000C1E0E" w:rsidP="000C1E0E">
      <w:pPr>
        <w:spacing w:after="120" w:line="360" w:lineRule="auto"/>
        <w:ind w:firstLine="426"/>
        <w:rPr>
          <w:rFonts w:ascii="Times New Roman" w:eastAsiaTheme="minorHAnsi" w:hAnsi="Times New Roman"/>
          <w:sz w:val="24"/>
          <w:szCs w:val="24"/>
          <w:lang w:eastAsia="en-US"/>
        </w:rPr>
      </w:pPr>
      <w:r>
        <w:rPr>
          <w:rFonts w:ascii="Times New Roman" w:eastAsiaTheme="minorHAnsi" w:hAnsi="Times New Roman"/>
          <w:sz w:val="24"/>
          <w:szCs w:val="24"/>
          <w:lang w:eastAsia="en-US"/>
        </w:rPr>
        <w:t>Для расчета значения кредитного спреда соответствующей рейтинговой группы используются значения доходности следующих индексов ПАО «Московская биржа», раскрываемых по итогам каждого торгового дня:</w:t>
      </w:r>
    </w:p>
    <w:p w14:paraId="3DE6182B" w14:textId="77777777" w:rsidR="000C1E0E" w:rsidRDefault="000C1E0E" w:rsidP="000C1E0E">
      <w:pPr>
        <w:numPr>
          <w:ilvl w:val="0"/>
          <w:numId w:val="14"/>
        </w:numPr>
        <w:spacing w:after="200" w:line="360" w:lineRule="auto"/>
        <w:ind w:left="284" w:hanging="284"/>
        <w:contextualSpacing/>
        <w:jc w:val="left"/>
        <w:rPr>
          <w:rFonts w:ascii="Times New Roman" w:eastAsia="Calibri" w:hAnsi="Times New Roman"/>
          <w:sz w:val="24"/>
          <w:szCs w:val="24"/>
          <w:lang w:eastAsia="en-US"/>
        </w:rPr>
      </w:pPr>
      <w:r>
        <w:rPr>
          <w:rFonts w:ascii="Times New Roman" w:eastAsiaTheme="minorHAnsi" w:hAnsi="Times New Roman"/>
          <w:sz w:val="24"/>
          <w:szCs w:val="24"/>
          <w:lang w:eastAsia="en-US"/>
        </w:rPr>
        <w:t>Индекс государственных облигаций (1-3 года),</w:t>
      </w:r>
      <w:r>
        <w:rPr>
          <w:rFonts w:ascii="Times New Roman" w:eastAsia="Calibri" w:hAnsi="Times New Roman"/>
          <w:sz w:val="24"/>
          <w:szCs w:val="24"/>
          <w:lang w:eastAsia="en-US"/>
        </w:rPr>
        <w:t xml:space="preserve"> </w:t>
      </w:r>
    </w:p>
    <w:p w14:paraId="3F3A069C" w14:textId="77777777" w:rsidR="000C1E0E" w:rsidRDefault="000C1E0E" w:rsidP="000C1E0E">
      <w:pPr>
        <w:spacing w:line="360" w:lineRule="auto"/>
        <w:ind w:firstLine="708"/>
        <w:rPr>
          <w:rFonts w:ascii="Times New Roman" w:eastAsiaTheme="minorHAnsi" w:hAnsi="Times New Roman"/>
          <w:b/>
          <w:sz w:val="24"/>
          <w:szCs w:val="24"/>
          <w:lang w:eastAsia="en-US"/>
        </w:rPr>
      </w:pPr>
      <w:r>
        <w:rPr>
          <w:rFonts w:ascii="Times New Roman" w:eastAsiaTheme="minorHAnsi" w:hAnsi="Times New Roman"/>
          <w:sz w:val="24"/>
          <w:szCs w:val="24"/>
          <w:lang w:eastAsia="en-US"/>
        </w:rPr>
        <w:t xml:space="preserve">Тикер - </w:t>
      </w:r>
      <w:r>
        <w:rPr>
          <w:rFonts w:ascii="Times New Roman" w:eastAsiaTheme="minorHAnsi" w:hAnsi="Times New Roman"/>
          <w:b/>
          <w:sz w:val="24"/>
          <w:szCs w:val="24"/>
          <w:lang w:eastAsia="en-US"/>
        </w:rPr>
        <w:t>RUGBICP3Y;</w:t>
      </w:r>
    </w:p>
    <w:p w14:paraId="301C521C" w14:textId="77777777" w:rsidR="000C1E0E" w:rsidRDefault="000C1E0E" w:rsidP="000C1E0E">
      <w:pPr>
        <w:spacing w:line="360" w:lineRule="auto"/>
        <w:ind w:firstLine="708"/>
        <w:rPr>
          <w:rFonts w:ascii="Times New Roman" w:eastAsiaTheme="minorHAnsi" w:hAnsi="Times New Roman"/>
          <w:sz w:val="24"/>
          <w:szCs w:val="24"/>
          <w:lang w:eastAsia="en-US"/>
        </w:rPr>
      </w:pPr>
    </w:p>
    <w:p w14:paraId="4986C1EE" w14:textId="77777777" w:rsidR="000C1E0E" w:rsidRDefault="000C1E0E" w:rsidP="000C1E0E">
      <w:pPr>
        <w:numPr>
          <w:ilvl w:val="0"/>
          <w:numId w:val="14"/>
        </w:numPr>
        <w:spacing w:after="200" w:line="360" w:lineRule="auto"/>
        <w:ind w:left="284" w:hanging="284"/>
        <w:contextualSpacing/>
        <w:jc w:val="left"/>
        <w:rPr>
          <w:rFonts w:ascii="Times New Roman" w:eastAsiaTheme="minorHAnsi" w:hAnsi="Times New Roman"/>
          <w:sz w:val="24"/>
          <w:szCs w:val="24"/>
          <w:lang w:eastAsia="en-US"/>
        </w:rPr>
      </w:pPr>
      <w:r>
        <w:rPr>
          <w:rFonts w:ascii="Times New Roman" w:eastAsiaTheme="minorHAnsi" w:hAnsi="Times New Roman"/>
          <w:sz w:val="24"/>
          <w:szCs w:val="24"/>
          <w:lang w:eastAsia="en-US"/>
        </w:rPr>
        <w:t xml:space="preserve">Рейтинговая группа I - Индекс корпоративных облигаций (1-3 года, рейтинг ≥ BBB-), </w:t>
      </w:r>
    </w:p>
    <w:p w14:paraId="51CAA56C" w14:textId="77777777" w:rsidR="000C1E0E" w:rsidRDefault="000C1E0E" w:rsidP="000C1E0E">
      <w:pPr>
        <w:spacing w:line="360" w:lineRule="auto"/>
        <w:ind w:firstLine="708"/>
        <w:rPr>
          <w:rFonts w:ascii="Times New Roman" w:eastAsiaTheme="minorHAnsi" w:hAnsi="Times New Roman"/>
          <w:b/>
          <w:sz w:val="24"/>
          <w:szCs w:val="24"/>
          <w:lang w:eastAsia="en-US"/>
        </w:rPr>
      </w:pPr>
      <w:r>
        <w:rPr>
          <w:rFonts w:ascii="Times New Roman" w:eastAsiaTheme="minorHAnsi" w:hAnsi="Times New Roman"/>
          <w:sz w:val="24"/>
          <w:szCs w:val="24"/>
          <w:lang w:eastAsia="en-US"/>
        </w:rPr>
        <w:t xml:space="preserve">Тикер - </w:t>
      </w:r>
      <w:r>
        <w:rPr>
          <w:rFonts w:ascii="Times New Roman" w:eastAsiaTheme="minorHAnsi" w:hAnsi="Times New Roman"/>
          <w:b/>
          <w:sz w:val="24"/>
          <w:szCs w:val="24"/>
          <w:lang w:eastAsia="en-US"/>
        </w:rPr>
        <w:t>RUCBICPBBB3Y;</w:t>
      </w:r>
    </w:p>
    <w:p w14:paraId="6638F188" w14:textId="77777777" w:rsidR="000C1E0E" w:rsidRDefault="000C1E0E" w:rsidP="000C1E0E">
      <w:pPr>
        <w:spacing w:line="360" w:lineRule="auto"/>
        <w:ind w:firstLine="708"/>
        <w:rPr>
          <w:rFonts w:ascii="Times New Roman" w:eastAsiaTheme="minorHAnsi" w:hAnsi="Times New Roman"/>
          <w:sz w:val="24"/>
          <w:szCs w:val="24"/>
          <w:lang w:eastAsia="en-US"/>
        </w:rPr>
      </w:pPr>
    </w:p>
    <w:p w14:paraId="3196CB52" w14:textId="77777777" w:rsidR="000C1E0E" w:rsidRDefault="000C1E0E" w:rsidP="000C1E0E">
      <w:pPr>
        <w:numPr>
          <w:ilvl w:val="0"/>
          <w:numId w:val="14"/>
        </w:numPr>
        <w:spacing w:after="200" w:line="360" w:lineRule="auto"/>
        <w:ind w:left="284" w:hanging="284"/>
        <w:contextualSpacing/>
        <w:jc w:val="left"/>
        <w:rPr>
          <w:rFonts w:ascii="Times New Roman" w:eastAsiaTheme="minorHAnsi" w:hAnsi="Times New Roman"/>
          <w:sz w:val="24"/>
          <w:szCs w:val="24"/>
          <w:lang w:eastAsia="en-US"/>
        </w:rPr>
      </w:pPr>
      <w:r>
        <w:rPr>
          <w:rFonts w:ascii="Times New Roman" w:eastAsiaTheme="minorHAnsi" w:hAnsi="Times New Roman"/>
          <w:sz w:val="24"/>
          <w:szCs w:val="24"/>
          <w:lang w:eastAsia="en-US"/>
        </w:rPr>
        <w:t xml:space="preserve">Рейтинговая группа II - Индекс корпоративных облигаций (1-3 года, BB- ≤ рейтинг &lt; BBB-), </w:t>
      </w:r>
    </w:p>
    <w:p w14:paraId="0102C543" w14:textId="77777777" w:rsidR="000C1E0E" w:rsidRDefault="000C1E0E" w:rsidP="000C1E0E">
      <w:pPr>
        <w:spacing w:line="360" w:lineRule="auto"/>
        <w:ind w:firstLine="284"/>
        <w:rPr>
          <w:rFonts w:ascii="Times New Roman" w:eastAsiaTheme="minorHAnsi" w:hAnsi="Times New Roman"/>
          <w:b/>
          <w:sz w:val="24"/>
          <w:szCs w:val="24"/>
          <w:lang w:eastAsia="en-US"/>
        </w:rPr>
      </w:pPr>
      <w:r>
        <w:rPr>
          <w:rFonts w:ascii="Times New Roman" w:eastAsiaTheme="minorHAnsi" w:hAnsi="Times New Roman"/>
          <w:sz w:val="24"/>
          <w:szCs w:val="24"/>
          <w:lang w:eastAsia="en-US"/>
        </w:rPr>
        <w:t xml:space="preserve">Тикер - </w:t>
      </w:r>
      <w:r>
        <w:rPr>
          <w:rFonts w:ascii="Times New Roman" w:eastAsiaTheme="minorHAnsi" w:hAnsi="Times New Roman"/>
          <w:b/>
          <w:sz w:val="24"/>
          <w:szCs w:val="24"/>
          <w:lang w:eastAsia="en-US"/>
        </w:rPr>
        <w:t>RUCBICPBB3Y;</w:t>
      </w:r>
    </w:p>
    <w:p w14:paraId="62563EDB" w14:textId="77777777" w:rsidR="000C1E0E" w:rsidRDefault="000C1E0E" w:rsidP="000C1E0E">
      <w:pPr>
        <w:spacing w:line="360" w:lineRule="auto"/>
        <w:rPr>
          <w:rFonts w:ascii="Times New Roman" w:eastAsiaTheme="minorHAnsi" w:hAnsi="Times New Roman"/>
          <w:sz w:val="24"/>
          <w:szCs w:val="24"/>
          <w:lang w:eastAsia="en-US"/>
        </w:rPr>
      </w:pPr>
    </w:p>
    <w:p w14:paraId="21B63526" w14:textId="77777777" w:rsidR="000C1E0E" w:rsidRDefault="000C1E0E" w:rsidP="000C1E0E">
      <w:pPr>
        <w:numPr>
          <w:ilvl w:val="0"/>
          <w:numId w:val="14"/>
        </w:numPr>
        <w:spacing w:after="200" w:line="360" w:lineRule="auto"/>
        <w:ind w:left="284" w:hanging="284"/>
        <w:contextualSpacing/>
        <w:jc w:val="left"/>
        <w:rPr>
          <w:rFonts w:ascii="Times New Roman" w:eastAsiaTheme="minorHAnsi" w:hAnsi="Times New Roman"/>
          <w:sz w:val="24"/>
          <w:szCs w:val="24"/>
          <w:lang w:eastAsia="en-US"/>
        </w:rPr>
      </w:pPr>
      <w:r>
        <w:rPr>
          <w:rFonts w:ascii="Times New Roman" w:eastAsiaTheme="minorHAnsi" w:hAnsi="Times New Roman"/>
          <w:sz w:val="24"/>
          <w:szCs w:val="24"/>
          <w:lang w:eastAsia="en-US"/>
        </w:rPr>
        <w:t xml:space="preserve">Рейтинговая группа III - Индекс корпоративных облигаций (1-3 года, B- ≤ рейтинг &lt; BB-), </w:t>
      </w:r>
    </w:p>
    <w:p w14:paraId="6621ACB9" w14:textId="77777777" w:rsidR="000C1E0E" w:rsidRDefault="000C1E0E" w:rsidP="000C1E0E">
      <w:pPr>
        <w:spacing w:line="360" w:lineRule="auto"/>
        <w:ind w:firstLine="284"/>
        <w:rPr>
          <w:rFonts w:ascii="Times New Roman" w:eastAsiaTheme="minorHAnsi" w:hAnsi="Times New Roman"/>
          <w:b/>
          <w:sz w:val="24"/>
          <w:szCs w:val="24"/>
          <w:lang w:eastAsia="en-US"/>
        </w:rPr>
      </w:pPr>
      <w:r>
        <w:rPr>
          <w:rFonts w:ascii="Times New Roman" w:eastAsiaTheme="minorHAnsi" w:hAnsi="Times New Roman"/>
          <w:sz w:val="24"/>
          <w:szCs w:val="24"/>
          <w:lang w:eastAsia="en-US"/>
        </w:rPr>
        <w:t xml:space="preserve">Тикер - </w:t>
      </w:r>
      <w:r>
        <w:rPr>
          <w:rFonts w:ascii="Times New Roman" w:eastAsiaTheme="minorHAnsi" w:hAnsi="Times New Roman"/>
          <w:b/>
          <w:sz w:val="24"/>
          <w:szCs w:val="24"/>
          <w:lang w:eastAsia="en-US"/>
        </w:rPr>
        <w:t>RUCBICPB3Y;</w:t>
      </w:r>
    </w:p>
    <w:p w14:paraId="34EC1EB5" w14:textId="77777777" w:rsidR="000C1E0E" w:rsidRDefault="000C1E0E" w:rsidP="000C1E0E">
      <w:pPr>
        <w:spacing w:line="360" w:lineRule="auto"/>
        <w:rPr>
          <w:rFonts w:ascii="Times New Roman" w:eastAsiaTheme="minorHAnsi" w:hAnsi="Times New Roman"/>
          <w:sz w:val="24"/>
          <w:szCs w:val="24"/>
          <w:lang w:eastAsia="en-US"/>
        </w:rPr>
      </w:pPr>
    </w:p>
    <w:p w14:paraId="6162D600" w14:textId="77777777" w:rsidR="000C1E0E" w:rsidRDefault="000C1E0E" w:rsidP="000C1E0E">
      <w:pPr>
        <w:numPr>
          <w:ilvl w:val="0"/>
          <w:numId w:val="14"/>
        </w:numPr>
        <w:spacing w:after="200" w:line="360" w:lineRule="auto"/>
        <w:ind w:left="284" w:hanging="284"/>
        <w:contextualSpacing/>
        <w:jc w:val="left"/>
        <w:rPr>
          <w:rFonts w:ascii="Times New Roman" w:eastAsia="Calibri" w:hAnsi="Times New Roman"/>
          <w:sz w:val="24"/>
          <w:szCs w:val="24"/>
          <w:lang w:eastAsia="en-US"/>
        </w:rPr>
      </w:pPr>
      <w:r>
        <w:rPr>
          <w:rFonts w:ascii="Times New Roman" w:eastAsiaTheme="minorHAnsi" w:hAnsi="Times New Roman"/>
          <w:sz w:val="24"/>
          <w:szCs w:val="24"/>
          <w:lang w:eastAsia="en-US"/>
        </w:rPr>
        <w:t xml:space="preserve">Рейтинговая группа IV - </w:t>
      </w:r>
      <w:r>
        <w:rPr>
          <w:rFonts w:ascii="Times New Roman" w:eastAsia="Calibri" w:hAnsi="Times New Roman"/>
          <w:sz w:val="24"/>
          <w:szCs w:val="24"/>
          <w:lang w:eastAsia="en-US"/>
        </w:rPr>
        <w:t>выбирается Индекс в зависимости от котировального уровня, в который входит долговая ценная бумага:</w:t>
      </w:r>
      <w:r>
        <w:rPr>
          <w:rFonts w:ascii="Times New Roman" w:eastAsiaTheme="minorHAnsi" w:hAnsi="Times New Roman"/>
          <w:sz w:val="24"/>
          <w:szCs w:val="24"/>
          <w:lang w:eastAsia="en-US"/>
        </w:rPr>
        <w:t xml:space="preserve"> Индекс котировальных листов (котировальный уровень 2)</w:t>
      </w:r>
      <w:r>
        <w:rPr>
          <w:rFonts w:ascii="Times New Roman" w:eastAsia="Calibri" w:hAnsi="Times New Roman"/>
          <w:sz w:val="24"/>
          <w:szCs w:val="24"/>
          <w:lang w:eastAsia="en-US"/>
        </w:rPr>
        <w:t xml:space="preserve"> или Индекс котировальных листов (котировальный уровень 3)</w:t>
      </w:r>
      <w:r>
        <w:rPr>
          <w:rFonts w:ascii="Times New Roman" w:eastAsiaTheme="minorHAnsi" w:hAnsi="Times New Roman"/>
          <w:sz w:val="24"/>
          <w:szCs w:val="24"/>
          <w:lang w:eastAsia="en-US"/>
        </w:rPr>
        <w:t xml:space="preserve">, </w:t>
      </w:r>
    </w:p>
    <w:p w14:paraId="27B8AC72" w14:textId="77777777" w:rsidR="000C1E0E" w:rsidRDefault="000C1E0E" w:rsidP="000C1E0E">
      <w:pPr>
        <w:spacing w:line="360" w:lineRule="auto"/>
        <w:ind w:firstLine="284"/>
        <w:rPr>
          <w:rFonts w:ascii="Times New Roman" w:eastAsiaTheme="minorHAnsi" w:hAnsi="Times New Roman"/>
          <w:sz w:val="24"/>
          <w:szCs w:val="24"/>
          <w:lang w:eastAsia="en-US"/>
        </w:rPr>
      </w:pPr>
      <w:r>
        <w:rPr>
          <w:rFonts w:ascii="Times New Roman" w:eastAsiaTheme="minorHAnsi" w:hAnsi="Times New Roman"/>
          <w:sz w:val="24"/>
          <w:szCs w:val="24"/>
          <w:lang w:eastAsia="en-US"/>
        </w:rPr>
        <w:t xml:space="preserve">Тикер - </w:t>
      </w:r>
      <w:r>
        <w:rPr>
          <w:rFonts w:ascii="Times New Roman" w:eastAsiaTheme="minorHAnsi" w:hAnsi="Times New Roman"/>
          <w:b/>
          <w:sz w:val="24"/>
          <w:szCs w:val="24"/>
          <w:lang w:eastAsia="en-US"/>
        </w:rPr>
        <w:t>RUCBICPL2</w:t>
      </w:r>
      <w:r>
        <w:rPr>
          <w:rFonts w:ascii="Times New Roman" w:eastAsiaTheme="minorHAnsi" w:hAnsi="Times New Roman"/>
          <w:sz w:val="24"/>
          <w:szCs w:val="24"/>
          <w:lang w:eastAsia="en-US"/>
        </w:rPr>
        <w:t xml:space="preserve"> </w:t>
      </w:r>
    </w:p>
    <w:p w14:paraId="72BC6136" w14:textId="77777777" w:rsidR="000C1E0E" w:rsidRDefault="000C1E0E" w:rsidP="000C1E0E">
      <w:pPr>
        <w:spacing w:line="360" w:lineRule="auto"/>
        <w:ind w:firstLine="284"/>
        <w:rPr>
          <w:rFonts w:ascii="Times New Roman" w:eastAsiaTheme="minorHAnsi" w:hAnsi="Times New Roman"/>
          <w:sz w:val="24"/>
          <w:szCs w:val="24"/>
          <w:lang w:eastAsia="en-US"/>
        </w:rPr>
      </w:pPr>
      <w:r>
        <w:rPr>
          <w:rFonts w:ascii="Times New Roman" w:eastAsiaTheme="minorHAnsi" w:hAnsi="Times New Roman"/>
          <w:sz w:val="24"/>
          <w:szCs w:val="24"/>
          <w:lang w:eastAsia="en-US"/>
        </w:rPr>
        <w:t>Тикер -</w:t>
      </w:r>
      <w:r>
        <w:rPr>
          <w:rFonts w:ascii="Times New Roman" w:eastAsiaTheme="minorHAnsi" w:hAnsi="Times New Roman"/>
          <w:b/>
          <w:sz w:val="24"/>
          <w:szCs w:val="24"/>
          <w:lang w:eastAsia="en-US"/>
        </w:rPr>
        <w:t>RUCBICPL3</w:t>
      </w:r>
      <w:r>
        <w:rPr>
          <w:rFonts w:ascii="Times New Roman" w:eastAsiaTheme="minorHAnsi" w:hAnsi="Times New Roman"/>
          <w:sz w:val="24"/>
          <w:szCs w:val="24"/>
          <w:lang w:eastAsia="en-US"/>
        </w:rPr>
        <w:t>.</w:t>
      </w:r>
    </w:p>
    <w:p w14:paraId="3FEA3F9D" w14:textId="77777777" w:rsidR="000C1E0E" w:rsidRDefault="000C1E0E" w:rsidP="000C1E0E">
      <w:pPr>
        <w:spacing w:after="200" w:line="360" w:lineRule="auto"/>
        <w:contextualSpacing/>
        <w:jc w:val="left"/>
        <w:rPr>
          <w:rFonts w:ascii="Times New Roman" w:eastAsia="Calibri" w:hAnsi="Times New Roman"/>
          <w:sz w:val="24"/>
          <w:szCs w:val="24"/>
          <w:lang w:eastAsia="en-US"/>
        </w:rPr>
      </w:pPr>
    </w:p>
    <w:p w14:paraId="18975290" w14:textId="77777777" w:rsidR="000C1E0E" w:rsidRDefault="000C1E0E" w:rsidP="000C1E0E">
      <w:pPr>
        <w:spacing w:after="120" w:line="360" w:lineRule="auto"/>
        <w:ind w:firstLine="426"/>
        <w:rPr>
          <w:rFonts w:ascii="Times New Roman" w:eastAsiaTheme="minorHAnsi" w:hAnsi="Times New Roman"/>
          <w:sz w:val="24"/>
          <w:szCs w:val="24"/>
          <w:lang w:eastAsia="en-US"/>
        </w:rPr>
      </w:pPr>
      <w:r>
        <w:rPr>
          <w:rFonts w:ascii="Times New Roman" w:eastAsiaTheme="minorHAnsi" w:hAnsi="Times New Roman"/>
          <w:sz w:val="24"/>
          <w:szCs w:val="24"/>
          <w:lang w:eastAsia="en-US"/>
        </w:rPr>
        <w:t>Расчет кредитного спреда для рейтинговых групп осуществляется по следующим формулам:</w:t>
      </w:r>
    </w:p>
    <w:p w14:paraId="004720B4" w14:textId="77777777" w:rsidR="000C1E0E" w:rsidRDefault="000C1E0E" w:rsidP="000C1E0E">
      <w:pPr>
        <w:spacing w:after="120" w:line="360" w:lineRule="auto"/>
        <w:ind w:firstLine="426"/>
        <w:rPr>
          <w:rFonts w:ascii="Times New Roman" w:eastAsiaTheme="minorHAnsi" w:hAnsi="Times New Roman"/>
          <w:b/>
          <w:sz w:val="24"/>
          <w:szCs w:val="24"/>
          <w:lang w:eastAsia="en-US"/>
        </w:rPr>
      </w:pPr>
      <w:r>
        <w:rPr>
          <w:rFonts w:ascii="Times New Roman" w:eastAsiaTheme="minorHAnsi" w:hAnsi="Times New Roman"/>
          <w:b/>
          <w:sz w:val="24"/>
          <w:szCs w:val="24"/>
          <w:lang w:eastAsia="en-US"/>
        </w:rPr>
        <w:t>Рейтинговая группа I:</w:t>
      </w:r>
    </w:p>
    <w:p w14:paraId="43BE4A52" w14:textId="77777777" w:rsidR="000C1E0E" w:rsidRDefault="000C1E0E" w:rsidP="000C1E0E">
      <w:pPr>
        <w:spacing w:after="120" w:line="360" w:lineRule="auto"/>
        <w:ind w:firstLine="426"/>
        <w:rPr>
          <w:rFonts w:ascii="Times New Roman" w:eastAsiaTheme="minorHAnsi" w:hAnsi="Times New Roman"/>
          <w:sz w:val="24"/>
          <w:szCs w:val="24"/>
          <w:lang w:eastAsia="en-US"/>
        </w:rPr>
      </w:pPr>
      <w:r>
        <w:rPr>
          <w:rFonts w:ascii="Times New Roman" w:eastAsiaTheme="minorHAnsi" w:hAnsi="Times New Roman"/>
          <w:sz w:val="24"/>
          <w:szCs w:val="24"/>
          <w:lang w:eastAsia="en-US"/>
        </w:rPr>
        <w:t xml:space="preserve">Рассчитывается кредитный спред </w:t>
      </w:r>
      <m:oMath>
        <m:sSub>
          <m:sSubPr>
            <m:ctrlPr>
              <w:rPr>
                <w:rFonts w:ascii="Cambria Math" w:eastAsiaTheme="minorHAnsi" w:hAnsi="Cambria Math"/>
                <w:sz w:val="24"/>
                <w:szCs w:val="24"/>
                <w:lang w:eastAsia="en-US"/>
              </w:rPr>
            </m:ctrlPr>
          </m:sSubPr>
          <m:e>
            <m:r>
              <w:rPr>
                <w:rFonts w:ascii="Cambria Math" w:eastAsiaTheme="minorHAnsi" w:hAnsi="Cambria Math"/>
                <w:sz w:val="24"/>
                <w:szCs w:val="24"/>
                <w:lang w:eastAsia="en-US"/>
              </w:rPr>
              <m:t>S</m:t>
            </m:r>
          </m:e>
          <m:sub>
            <m:r>
              <m:rPr>
                <m:sty m:val="p"/>
              </m:rPr>
              <w:rPr>
                <w:rFonts w:ascii="Cambria Math" w:eastAsiaTheme="minorHAnsi" w:hAnsi="Times New Roman"/>
                <w:sz w:val="24"/>
                <w:szCs w:val="24"/>
                <w:lang w:eastAsia="en-US"/>
              </w:rPr>
              <m:t>РГ</m:t>
            </m:r>
            <m:r>
              <w:rPr>
                <w:rFonts w:ascii="Cambria Math" w:eastAsiaTheme="minorHAnsi" w:hAnsi="Cambria Math"/>
                <w:sz w:val="24"/>
                <w:szCs w:val="24"/>
                <w:lang w:eastAsia="en-US"/>
              </w:rPr>
              <m:t>I</m:t>
            </m:r>
          </m:sub>
        </m:sSub>
      </m:oMath>
      <w:r>
        <w:rPr>
          <w:rFonts w:ascii="Times New Roman" w:eastAsiaTheme="minorHAnsi" w:hAnsi="Times New Roman"/>
          <w:sz w:val="24"/>
          <w:szCs w:val="24"/>
          <w:lang w:eastAsia="en-US"/>
        </w:rPr>
        <w:t xml:space="preserve"> за каждый из 20 последних торговых дней, предшествующих дате определения справедливой стоимости: </w:t>
      </w:r>
    </w:p>
    <w:p w14:paraId="7635F6B7" w14:textId="77777777" w:rsidR="000C1E0E" w:rsidRDefault="00C74876" w:rsidP="000C1E0E">
      <w:pPr>
        <w:spacing w:after="120" w:line="360" w:lineRule="auto"/>
        <w:ind w:firstLine="426"/>
        <w:rPr>
          <w:rFonts w:ascii="Times New Roman" w:eastAsiaTheme="minorHAnsi" w:hAnsi="Times New Roman"/>
          <w:sz w:val="24"/>
          <w:szCs w:val="24"/>
          <w:lang w:eastAsia="en-US"/>
        </w:rPr>
      </w:pPr>
      <m:oMathPara>
        <m:oMath>
          <m:sSub>
            <m:sSubPr>
              <m:ctrlPr>
                <w:rPr>
                  <w:rFonts w:ascii="Cambria Math" w:eastAsiaTheme="minorHAnsi" w:hAnsi="Cambria Math"/>
                  <w:sz w:val="24"/>
                  <w:szCs w:val="24"/>
                  <w:lang w:eastAsia="en-US"/>
                </w:rPr>
              </m:ctrlPr>
            </m:sSubPr>
            <m:e>
              <m:r>
                <w:rPr>
                  <w:rFonts w:ascii="Cambria Math" w:eastAsiaTheme="minorHAnsi" w:hAnsi="Cambria Math"/>
                  <w:sz w:val="24"/>
                  <w:szCs w:val="24"/>
                  <w:lang w:eastAsia="en-US"/>
                </w:rPr>
                <m:t>S</m:t>
              </m:r>
            </m:e>
            <m:sub>
              <m:r>
                <m:rPr>
                  <m:sty m:val="p"/>
                </m:rPr>
                <w:rPr>
                  <w:rFonts w:ascii="Cambria Math" w:eastAsiaTheme="minorHAnsi" w:hAnsi="Cambria Math"/>
                  <w:sz w:val="24"/>
                  <w:szCs w:val="24"/>
                  <w:lang w:val="en-US" w:eastAsia="en-US"/>
                </w:rPr>
                <m:t>РГ</m:t>
              </m:r>
              <m:r>
                <w:rPr>
                  <w:rFonts w:ascii="Cambria Math" w:eastAsiaTheme="minorHAnsi" w:hAnsi="Cambria Math"/>
                  <w:sz w:val="24"/>
                  <w:szCs w:val="24"/>
                  <w:lang w:eastAsia="en-US"/>
                </w:rPr>
                <m:t>I</m:t>
              </m:r>
            </m:sub>
          </m:sSub>
          <m:r>
            <m:rPr>
              <m:sty m:val="p"/>
            </m:rPr>
            <w:rPr>
              <w:rFonts w:ascii="Cambria Math" w:eastAsiaTheme="minorHAnsi" w:hAnsi="Times New Roman"/>
              <w:sz w:val="24"/>
              <w:szCs w:val="24"/>
              <w:lang w:eastAsia="en-US"/>
            </w:rPr>
            <m:t>=</m:t>
          </m:r>
          <m:d>
            <m:dPr>
              <m:ctrlPr>
                <w:rPr>
                  <w:rFonts w:ascii="Cambria Math" w:eastAsiaTheme="minorHAnsi" w:hAnsi="Cambria Math"/>
                  <w:sz w:val="24"/>
                  <w:szCs w:val="24"/>
                  <w:lang w:eastAsia="en-US"/>
                </w:rPr>
              </m:ctrlPr>
            </m:dPr>
            <m:e>
              <m:sSub>
                <m:sSubPr>
                  <m:ctrlPr>
                    <w:rPr>
                      <w:rFonts w:ascii="Cambria Math" w:eastAsiaTheme="minorHAnsi" w:hAnsi="Cambria Math"/>
                      <w:sz w:val="24"/>
                      <w:szCs w:val="24"/>
                      <w:lang w:eastAsia="en-US"/>
                    </w:rPr>
                  </m:ctrlPr>
                </m:sSubPr>
                <m:e>
                  <m:r>
                    <w:rPr>
                      <w:rFonts w:ascii="Cambria Math" w:eastAsiaTheme="minorHAnsi" w:hAnsi="Cambria Math"/>
                      <w:sz w:val="24"/>
                      <w:szCs w:val="24"/>
                      <w:lang w:eastAsia="en-US"/>
                    </w:rPr>
                    <m:t>Y</m:t>
                  </m:r>
                </m:e>
                <m:sub>
                  <m:r>
                    <m:rPr>
                      <m:sty m:val="p"/>
                    </m:rPr>
                    <w:rPr>
                      <w:rFonts w:ascii="Cambria Math" w:eastAsiaTheme="minorHAnsi" w:hAnsi="Times New Roman"/>
                      <w:sz w:val="24"/>
                      <w:szCs w:val="24"/>
                      <w:lang w:eastAsia="en-US"/>
                    </w:rPr>
                    <m:t>RUCBICPBBB3Y</m:t>
                  </m:r>
                </m:sub>
              </m:sSub>
              <m:r>
                <m:rPr>
                  <m:sty m:val="p"/>
                </m:rPr>
                <w:rPr>
                  <w:rFonts w:ascii="Cambria Math" w:eastAsiaTheme="minorHAnsi" w:hAnsi="Cambria Math"/>
                  <w:sz w:val="24"/>
                  <w:szCs w:val="24"/>
                  <w:lang w:eastAsia="en-US"/>
                </w:rPr>
                <m:t>-</m:t>
              </m:r>
              <m:sSub>
                <m:sSubPr>
                  <m:ctrlPr>
                    <w:rPr>
                      <w:rFonts w:ascii="Cambria Math" w:eastAsiaTheme="minorHAnsi" w:hAnsi="Cambria Math"/>
                      <w:sz w:val="24"/>
                      <w:szCs w:val="24"/>
                      <w:lang w:eastAsia="en-US"/>
                    </w:rPr>
                  </m:ctrlPr>
                </m:sSubPr>
                <m:e>
                  <m:r>
                    <w:rPr>
                      <w:rFonts w:ascii="Cambria Math" w:eastAsiaTheme="minorHAnsi" w:hAnsi="Cambria Math"/>
                      <w:sz w:val="24"/>
                      <w:szCs w:val="24"/>
                      <w:lang w:eastAsia="en-US"/>
                    </w:rPr>
                    <m:t>Y</m:t>
                  </m:r>
                </m:e>
                <m:sub>
                  <m:r>
                    <m:rPr>
                      <m:sty m:val="p"/>
                    </m:rPr>
                    <w:rPr>
                      <w:rFonts w:ascii="Cambria Math" w:eastAsiaTheme="minorHAnsi" w:hAnsi="Times New Roman"/>
                      <w:sz w:val="24"/>
                      <w:szCs w:val="24"/>
                      <w:lang w:eastAsia="en-US"/>
                    </w:rPr>
                    <m:t>RUGBICP3Y</m:t>
                  </m:r>
                </m:sub>
              </m:sSub>
            </m:e>
          </m:d>
          <m:r>
            <m:rPr>
              <m:sty m:val="p"/>
            </m:rPr>
            <w:rPr>
              <w:rFonts w:ascii="Cambria Math" w:eastAsiaTheme="minorHAnsi" w:hAnsi="Cambria Math"/>
              <w:sz w:val="24"/>
              <w:szCs w:val="24"/>
              <w:lang w:eastAsia="en-US"/>
            </w:rPr>
            <m:t>*</m:t>
          </m:r>
          <m:r>
            <m:rPr>
              <m:sty m:val="p"/>
            </m:rPr>
            <w:rPr>
              <w:rFonts w:ascii="Cambria Math" w:eastAsiaTheme="minorHAnsi" w:hAnsi="Times New Roman"/>
              <w:sz w:val="24"/>
              <w:szCs w:val="24"/>
              <w:lang w:eastAsia="en-US"/>
            </w:rPr>
            <m:t>100</m:t>
          </m:r>
        </m:oMath>
      </m:oMathPara>
    </w:p>
    <w:p w14:paraId="0F46CB49" w14:textId="77777777" w:rsidR="000C1E0E" w:rsidRDefault="000C1E0E" w:rsidP="000C1E0E">
      <w:pPr>
        <w:spacing w:after="120" w:line="360" w:lineRule="auto"/>
        <w:ind w:firstLine="426"/>
        <w:rPr>
          <w:rFonts w:ascii="Times New Roman" w:eastAsiaTheme="minorHAnsi" w:hAnsi="Times New Roman"/>
          <w:sz w:val="24"/>
          <w:szCs w:val="24"/>
          <w:lang w:eastAsia="en-US"/>
        </w:rPr>
      </w:pPr>
    </w:p>
    <w:p w14:paraId="29F16C4A" w14:textId="77777777" w:rsidR="000C1E0E" w:rsidRDefault="000C1E0E" w:rsidP="000C1E0E">
      <w:pPr>
        <w:spacing w:after="120" w:line="360" w:lineRule="auto"/>
        <w:ind w:firstLine="426"/>
        <w:rPr>
          <w:rFonts w:ascii="Times New Roman" w:eastAsiaTheme="minorHAnsi" w:hAnsi="Times New Roman"/>
          <w:sz w:val="24"/>
          <w:szCs w:val="24"/>
          <w:lang w:eastAsia="en-US"/>
        </w:rPr>
      </w:pPr>
      <w:r>
        <w:rPr>
          <w:rFonts w:ascii="Times New Roman" w:eastAsiaTheme="minorHAnsi" w:hAnsi="Times New Roman"/>
          <w:sz w:val="24"/>
          <w:szCs w:val="24"/>
          <w:lang w:eastAsia="en-US"/>
        </w:rPr>
        <w:t>где:</w:t>
      </w:r>
    </w:p>
    <w:p w14:paraId="2DD41246" w14:textId="77777777" w:rsidR="000C1E0E" w:rsidRDefault="000C1E0E" w:rsidP="000C1E0E">
      <w:pPr>
        <w:spacing w:after="120" w:line="360" w:lineRule="auto"/>
        <w:ind w:firstLine="426"/>
        <w:rPr>
          <w:rFonts w:ascii="Times New Roman" w:eastAsiaTheme="minorHAnsi" w:hAnsi="Times New Roman"/>
          <w:sz w:val="24"/>
          <w:szCs w:val="24"/>
          <w:lang w:eastAsia="en-US"/>
        </w:rPr>
      </w:pPr>
      <m:oMath>
        <m:r>
          <w:rPr>
            <w:rFonts w:ascii="Cambria Math" w:eastAsiaTheme="minorHAnsi" w:hAnsi="Cambria Math"/>
            <w:sz w:val="24"/>
            <w:szCs w:val="24"/>
            <w:lang w:eastAsia="en-US"/>
          </w:rPr>
          <m:t>Y</m:t>
        </m:r>
      </m:oMath>
      <w:r>
        <w:rPr>
          <w:rFonts w:ascii="Times New Roman" w:eastAsiaTheme="minorHAnsi" w:hAnsi="Times New Roman"/>
          <w:sz w:val="24"/>
          <w:szCs w:val="24"/>
          <w:lang w:eastAsia="en-US"/>
        </w:rPr>
        <w:t xml:space="preserve"> – значение доходности соответствующего индекса, раскрытого ПАО «Московская биржа».</w:t>
      </w:r>
    </w:p>
    <w:p w14:paraId="3BCDD488" w14:textId="77777777" w:rsidR="000C1E0E" w:rsidRDefault="000C1E0E" w:rsidP="000C1E0E">
      <w:pPr>
        <w:spacing w:after="120" w:line="360" w:lineRule="auto"/>
        <w:ind w:firstLine="426"/>
        <w:rPr>
          <w:rFonts w:ascii="Times New Roman" w:eastAsiaTheme="minorHAnsi" w:hAnsi="Times New Roman"/>
          <w:sz w:val="24"/>
          <w:szCs w:val="24"/>
          <w:lang w:eastAsia="en-US"/>
        </w:rPr>
      </w:pPr>
      <w:r>
        <w:rPr>
          <w:rFonts w:ascii="Times New Roman" w:eastAsiaTheme="minorHAnsi" w:hAnsi="Times New Roman"/>
          <w:sz w:val="24"/>
          <w:szCs w:val="24"/>
          <w:lang w:eastAsia="en-US"/>
        </w:rPr>
        <w:t xml:space="preserve">Рассчитывается медианное значение кредитного спреда </w:t>
      </w:r>
      <m:oMath>
        <m:sSub>
          <m:sSubPr>
            <m:ctrlPr>
              <w:rPr>
                <w:rFonts w:ascii="Cambria Math" w:eastAsiaTheme="minorHAnsi" w:hAnsi="Cambria Math"/>
                <w:sz w:val="24"/>
                <w:szCs w:val="24"/>
                <w:lang w:eastAsia="en-US"/>
              </w:rPr>
            </m:ctrlPr>
          </m:sSubPr>
          <m:e>
            <m:r>
              <w:rPr>
                <w:rFonts w:ascii="Cambria Math" w:eastAsiaTheme="minorHAnsi" w:hAnsi="Cambria Math"/>
                <w:sz w:val="24"/>
                <w:szCs w:val="24"/>
                <w:lang w:eastAsia="en-US"/>
              </w:rPr>
              <m:t>S</m:t>
            </m:r>
          </m:e>
          <m:sub>
            <m:r>
              <m:rPr>
                <m:sty m:val="p"/>
              </m:rPr>
              <w:rPr>
                <w:rFonts w:ascii="Cambria Math" w:eastAsiaTheme="minorHAnsi" w:hAnsi="Cambria Math"/>
                <w:sz w:val="24"/>
                <w:szCs w:val="24"/>
                <w:lang w:eastAsia="en-US"/>
              </w:rPr>
              <m:t>РГ</m:t>
            </m:r>
            <m:r>
              <w:rPr>
                <w:rFonts w:ascii="Cambria Math" w:eastAsiaTheme="minorHAnsi" w:hAnsi="Cambria Math"/>
                <w:sz w:val="24"/>
                <w:szCs w:val="24"/>
                <w:lang w:eastAsia="en-US"/>
              </w:rPr>
              <m:t>I</m:t>
            </m:r>
          </m:sub>
        </m:sSub>
      </m:oMath>
      <w:r>
        <w:rPr>
          <w:rFonts w:ascii="Times New Roman" w:eastAsiaTheme="minorHAnsi" w:hAnsi="Times New Roman"/>
          <w:sz w:val="24"/>
          <w:szCs w:val="24"/>
          <w:lang w:eastAsia="en-US"/>
        </w:rPr>
        <w:t xml:space="preserve"> за последние 20 торговых дней (медиана из полученного ряда </w:t>
      </w:r>
      <m:oMath>
        <m:sSub>
          <m:sSubPr>
            <m:ctrlPr>
              <w:rPr>
                <w:rFonts w:ascii="Cambria Math" w:eastAsiaTheme="minorHAnsi" w:hAnsi="Cambria Math"/>
                <w:sz w:val="24"/>
                <w:szCs w:val="24"/>
                <w:lang w:eastAsia="en-US"/>
              </w:rPr>
            </m:ctrlPr>
          </m:sSubPr>
          <m:e>
            <m:r>
              <w:rPr>
                <w:rFonts w:ascii="Cambria Math" w:eastAsiaTheme="minorHAnsi" w:hAnsi="Cambria Math"/>
                <w:sz w:val="24"/>
                <w:szCs w:val="24"/>
                <w:lang w:eastAsia="en-US"/>
              </w:rPr>
              <m:t>S</m:t>
            </m:r>
          </m:e>
          <m:sub>
            <m:r>
              <m:rPr>
                <m:sty m:val="p"/>
              </m:rPr>
              <w:rPr>
                <w:rFonts w:ascii="Cambria Math" w:eastAsiaTheme="minorHAnsi" w:hAnsi="Cambria Math"/>
                <w:sz w:val="24"/>
                <w:szCs w:val="24"/>
                <w:lang w:eastAsia="en-US"/>
              </w:rPr>
              <m:t>РГ</m:t>
            </m:r>
            <m:r>
              <w:rPr>
                <w:rFonts w:ascii="Cambria Math" w:eastAsiaTheme="minorHAnsi" w:hAnsi="Cambria Math"/>
                <w:sz w:val="24"/>
                <w:szCs w:val="24"/>
                <w:lang w:eastAsia="en-US"/>
              </w:rPr>
              <m:t>I</m:t>
            </m:r>
          </m:sub>
        </m:sSub>
      </m:oMath>
      <w:r>
        <w:rPr>
          <w:rFonts w:ascii="Times New Roman" w:eastAsiaTheme="minorHAnsi" w:hAnsi="Times New Roman"/>
          <w:sz w:val="24"/>
          <w:szCs w:val="24"/>
          <w:lang w:eastAsia="en-US"/>
        </w:rPr>
        <w:t xml:space="preserve">). При расчете значения медианного кредитного спреда промежуточные округления значений </w:t>
      </w:r>
      <m:oMath>
        <m:sSub>
          <m:sSubPr>
            <m:ctrlPr>
              <w:rPr>
                <w:rFonts w:ascii="Cambria Math" w:eastAsiaTheme="minorHAnsi" w:hAnsi="Cambria Math"/>
                <w:sz w:val="24"/>
                <w:szCs w:val="24"/>
                <w:lang w:eastAsia="en-US"/>
              </w:rPr>
            </m:ctrlPr>
          </m:sSubPr>
          <m:e>
            <m:r>
              <w:rPr>
                <w:rFonts w:ascii="Cambria Math" w:eastAsiaTheme="minorHAnsi" w:hAnsi="Cambria Math"/>
                <w:sz w:val="24"/>
                <w:szCs w:val="24"/>
                <w:lang w:eastAsia="en-US"/>
              </w:rPr>
              <m:t>S</m:t>
            </m:r>
          </m:e>
          <m:sub>
            <m:r>
              <m:rPr>
                <m:sty m:val="p"/>
              </m:rPr>
              <w:rPr>
                <w:rFonts w:ascii="Cambria Math" w:eastAsiaTheme="minorHAnsi" w:hAnsi="Cambria Math"/>
                <w:sz w:val="24"/>
                <w:szCs w:val="24"/>
                <w:lang w:eastAsia="en-US"/>
              </w:rPr>
              <m:t>РГ</m:t>
            </m:r>
            <m:r>
              <w:rPr>
                <w:rFonts w:ascii="Cambria Math" w:eastAsiaTheme="minorHAnsi" w:hAnsi="Cambria Math"/>
                <w:sz w:val="24"/>
                <w:szCs w:val="24"/>
                <w:lang w:eastAsia="en-US"/>
              </w:rPr>
              <m:t>I</m:t>
            </m:r>
          </m:sub>
        </m:sSub>
      </m:oMath>
      <w:r>
        <w:rPr>
          <w:rFonts w:ascii="Times New Roman" w:eastAsiaTheme="minorHAnsi" w:hAnsi="Times New Roman"/>
          <w:sz w:val="24"/>
          <w:szCs w:val="24"/>
          <w:lang w:eastAsia="en-US"/>
        </w:rPr>
        <w:t xml:space="preserve"> не производятся, результат расчета округляется по правилам математического округления с точностью до 2 знаков после запятой.</w:t>
      </w:r>
    </w:p>
    <w:p w14:paraId="625F3BB9" w14:textId="77777777" w:rsidR="000C1E0E" w:rsidRDefault="000C1E0E" w:rsidP="000C1E0E">
      <w:pPr>
        <w:spacing w:after="120" w:line="360" w:lineRule="auto"/>
        <w:ind w:firstLine="426"/>
        <w:rPr>
          <w:rFonts w:ascii="Times New Roman" w:eastAsiaTheme="minorHAnsi" w:hAnsi="Times New Roman"/>
          <w:b/>
          <w:sz w:val="24"/>
          <w:szCs w:val="24"/>
          <w:lang w:eastAsia="en-US"/>
        </w:rPr>
      </w:pPr>
      <w:r>
        <w:rPr>
          <w:rFonts w:ascii="Times New Roman" w:eastAsiaTheme="minorHAnsi" w:hAnsi="Times New Roman"/>
          <w:sz w:val="24"/>
          <w:szCs w:val="24"/>
          <w:lang w:eastAsia="en-US"/>
        </w:rPr>
        <w:t xml:space="preserve"> </w:t>
      </w:r>
      <w:r>
        <w:rPr>
          <w:rFonts w:ascii="Times New Roman" w:eastAsiaTheme="minorHAnsi" w:hAnsi="Times New Roman"/>
          <w:b/>
          <w:sz w:val="24"/>
          <w:szCs w:val="24"/>
          <w:lang w:eastAsia="en-US"/>
        </w:rPr>
        <w:t>Рейтинговая группа II</w:t>
      </w:r>
    </w:p>
    <w:p w14:paraId="7A830BA2" w14:textId="77777777" w:rsidR="000C1E0E" w:rsidRDefault="000C1E0E" w:rsidP="000C1E0E">
      <w:pPr>
        <w:spacing w:after="120" w:line="360" w:lineRule="auto"/>
        <w:ind w:firstLine="426"/>
        <w:rPr>
          <w:rFonts w:ascii="Times New Roman" w:eastAsiaTheme="minorHAnsi" w:hAnsi="Times New Roman"/>
          <w:sz w:val="24"/>
          <w:szCs w:val="24"/>
          <w:lang w:eastAsia="en-US"/>
        </w:rPr>
      </w:pPr>
      <w:r>
        <w:rPr>
          <w:rFonts w:ascii="Times New Roman" w:eastAsiaTheme="minorHAnsi" w:hAnsi="Times New Roman"/>
          <w:sz w:val="24"/>
          <w:szCs w:val="24"/>
          <w:lang w:eastAsia="en-US"/>
        </w:rPr>
        <w:t xml:space="preserve">Рассчитывается кредитный спред </w:t>
      </w:r>
      <m:oMath>
        <m:sSub>
          <m:sSubPr>
            <m:ctrlPr>
              <w:rPr>
                <w:rFonts w:ascii="Cambria Math" w:eastAsiaTheme="minorHAnsi" w:hAnsi="Cambria Math"/>
                <w:sz w:val="24"/>
                <w:szCs w:val="24"/>
                <w:lang w:eastAsia="en-US"/>
              </w:rPr>
            </m:ctrlPr>
          </m:sSubPr>
          <m:e>
            <m:r>
              <w:rPr>
                <w:rFonts w:ascii="Cambria Math" w:eastAsiaTheme="minorHAnsi" w:hAnsi="Cambria Math"/>
                <w:sz w:val="24"/>
                <w:szCs w:val="24"/>
                <w:lang w:eastAsia="en-US"/>
              </w:rPr>
              <m:t>S</m:t>
            </m:r>
          </m:e>
          <m:sub>
            <m:r>
              <m:rPr>
                <m:sty m:val="p"/>
              </m:rPr>
              <w:rPr>
                <w:rFonts w:ascii="Cambria Math" w:eastAsiaTheme="minorHAnsi" w:hAnsi="Cambria Math"/>
                <w:sz w:val="24"/>
                <w:szCs w:val="24"/>
                <w:lang w:eastAsia="en-US"/>
              </w:rPr>
              <m:t>РГ</m:t>
            </m:r>
            <m:r>
              <w:rPr>
                <w:rFonts w:ascii="Cambria Math" w:eastAsiaTheme="minorHAnsi" w:hAnsi="Cambria Math"/>
                <w:sz w:val="24"/>
                <w:szCs w:val="24"/>
                <w:lang w:eastAsia="en-US"/>
              </w:rPr>
              <m:t>II</m:t>
            </m:r>
          </m:sub>
        </m:sSub>
      </m:oMath>
      <w:r>
        <w:rPr>
          <w:rFonts w:ascii="Times New Roman" w:eastAsiaTheme="minorHAnsi" w:hAnsi="Times New Roman"/>
          <w:sz w:val="24"/>
          <w:szCs w:val="24"/>
          <w:lang w:eastAsia="en-US"/>
        </w:rPr>
        <w:t xml:space="preserve"> за каждый из 20 последних торговых дней, предшествующих дате определения справедливой стоимости: </w:t>
      </w:r>
    </w:p>
    <w:p w14:paraId="1062477B" w14:textId="77777777" w:rsidR="000C1E0E" w:rsidRDefault="00C74876" w:rsidP="000C1E0E">
      <w:pPr>
        <w:spacing w:after="120" w:line="360" w:lineRule="auto"/>
        <w:ind w:firstLine="426"/>
        <w:rPr>
          <w:rFonts w:ascii="Times New Roman" w:eastAsiaTheme="minorHAnsi" w:hAnsi="Times New Roman"/>
          <w:sz w:val="24"/>
          <w:szCs w:val="24"/>
          <w:lang w:eastAsia="en-US"/>
        </w:rPr>
      </w:pPr>
      <m:oMathPara>
        <m:oMath>
          <m:sSub>
            <m:sSubPr>
              <m:ctrlPr>
                <w:rPr>
                  <w:rFonts w:ascii="Cambria Math" w:eastAsiaTheme="minorHAnsi" w:hAnsi="Cambria Math"/>
                  <w:sz w:val="24"/>
                  <w:szCs w:val="24"/>
                  <w:lang w:eastAsia="en-US"/>
                </w:rPr>
              </m:ctrlPr>
            </m:sSubPr>
            <m:e>
              <m:r>
                <w:rPr>
                  <w:rFonts w:ascii="Cambria Math" w:eastAsiaTheme="minorHAnsi" w:hAnsi="Cambria Math"/>
                  <w:sz w:val="24"/>
                  <w:szCs w:val="24"/>
                  <w:lang w:eastAsia="en-US"/>
                </w:rPr>
                <m:t>S</m:t>
              </m:r>
            </m:e>
            <m:sub>
              <m:r>
                <m:rPr>
                  <m:sty m:val="p"/>
                </m:rPr>
                <w:rPr>
                  <w:rFonts w:ascii="Cambria Math" w:eastAsiaTheme="minorHAnsi" w:hAnsi="Cambria Math"/>
                  <w:sz w:val="24"/>
                  <w:szCs w:val="24"/>
                  <w:lang w:val="en-US" w:eastAsia="en-US"/>
                </w:rPr>
                <m:t>РГ</m:t>
              </m:r>
              <m:r>
                <w:rPr>
                  <w:rFonts w:ascii="Cambria Math" w:eastAsiaTheme="minorHAnsi" w:hAnsi="Cambria Math"/>
                  <w:sz w:val="24"/>
                  <w:szCs w:val="24"/>
                  <w:lang w:eastAsia="en-US"/>
                </w:rPr>
                <m:t>II</m:t>
              </m:r>
            </m:sub>
          </m:sSub>
          <m:r>
            <m:rPr>
              <m:sty m:val="p"/>
            </m:rPr>
            <w:rPr>
              <w:rFonts w:ascii="Cambria Math" w:eastAsiaTheme="minorHAnsi" w:hAnsi="Times New Roman"/>
              <w:sz w:val="24"/>
              <w:szCs w:val="24"/>
              <w:lang w:eastAsia="en-US"/>
            </w:rPr>
            <m:t>=</m:t>
          </m:r>
          <m:d>
            <m:dPr>
              <m:ctrlPr>
                <w:rPr>
                  <w:rFonts w:ascii="Cambria Math" w:eastAsiaTheme="minorHAnsi" w:hAnsi="Cambria Math"/>
                  <w:sz w:val="24"/>
                  <w:szCs w:val="24"/>
                  <w:lang w:eastAsia="en-US"/>
                </w:rPr>
              </m:ctrlPr>
            </m:dPr>
            <m:e>
              <m:sSub>
                <m:sSubPr>
                  <m:ctrlPr>
                    <w:rPr>
                      <w:rFonts w:ascii="Cambria Math" w:eastAsiaTheme="minorHAnsi" w:hAnsi="Cambria Math"/>
                      <w:sz w:val="24"/>
                      <w:szCs w:val="24"/>
                      <w:lang w:eastAsia="en-US"/>
                    </w:rPr>
                  </m:ctrlPr>
                </m:sSubPr>
                <m:e>
                  <m:r>
                    <w:rPr>
                      <w:rFonts w:ascii="Cambria Math" w:eastAsiaTheme="minorHAnsi" w:hAnsi="Cambria Math"/>
                      <w:sz w:val="24"/>
                      <w:szCs w:val="24"/>
                      <w:lang w:eastAsia="en-US"/>
                    </w:rPr>
                    <m:t>Y</m:t>
                  </m:r>
                </m:e>
                <m:sub>
                  <m:r>
                    <m:rPr>
                      <m:sty m:val="p"/>
                    </m:rPr>
                    <w:rPr>
                      <w:rFonts w:ascii="Cambria Math" w:eastAsiaTheme="minorHAnsi" w:hAnsi="Times New Roman"/>
                      <w:sz w:val="24"/>
                      <w:szCs w:val="24"/>
                      <w:lang w:eastAsia="en-US"/>
                    </w:rPr>
                    <m:t>RUCBICPBB3Y</m:t>
                  </m:r>
                </m:sub>
              </m:sSub>
              <m:r>
                <m:rPr>
                  <m:sty m:val="p"/>
                </m:rPr>
                <w:rPr>
                  <w:rFonts w:ascii="Cambria Math" w:eastAsiaTheme="minorHAnsi" w:hAnsi="Cambria Math"/>
                  <w:sz w:val="24"/>
                  <w:szCs w:val="24"/>
                  <w:lang w:eastAsia="en-US"/>
                </w:rPr>
                <m:t>-</m:t>
              </m:r>
              <m:sSub>
                <m:sSubPr>
                  <m:ctrlPr>
                    <w:rPr>
                      <w:rFonts w:ascii="Cambria Math" w:eastAsiaTheme="minorHAnsi" w:hAnsi="Cambria Math"/>
                      <w:sz w:val="24"/>
                      <w:szCs w:val="24"/>
                      <w:lang w:eastAsia="en-US"/>
                    </w:rPr>
                  </m:ctrlPr>
                </m:sSubPr>
                <m:e>
                  <m:r>
                    <w:rPr>
                      <w:rFonts w:ascii="Cambria Math" w:eastAsiaTheme="minorHAnsi" w:hAnsi="Cambria Math"/>
                      <w:sz w:val="24"/>
                      <w:szCs w:val="24"/>
                      <w:lang w:eastAsia="en-US"/>
                    </w:rPr>
                    <m:t>Y</m:t>
                  </m:r>
                </m:e>
                <m:sub>
                  <m:r>
                    <m:rPr>
                      <m:sty m:val="p"/>
                    </m:rPr>
                    <w:rPr>
                      <w:rFonts w:ascii="Cambria Math" w:eastAsiaTheme="minorHAnsi" w:hAnsi="Times New Roman"/>
                      <w:sz w:val="24"/>
                      <w:szCs w:val="24"/>
                      <w:lang w:eastAsia="en-US"/>
                    </w:rPr>
                    <m:t>RUGBICP3Y</m:t>
                  </m:r>
                </m:sub>
              </m:sSub>
            </m:e>
          </m:d>
          <m:r>
            <m:rPr>
              <m:sty m:val="p"/>
            </m:rPr>
            <w:rPr>
              <w:rFonts w:ascii="Cambria Math" w:eastAsiaTheme="minorHAnsi" w:hAnsi="Cambria Math"/>
              <w:sz w:val="24"/>
              <w:szCs w:val="24"/>
              <w:lang w:eastAsia="en-US"/>
            </w:rPr>
            <m:t>*</m:t>
          </m:r>
          <m:r>
            <m:rPr>
              <m:sty m:val="p"/>
            </m:rPr>
            <w:rPr>
              <w:rFonts w:ascii="Cambria Math" w:eastAsiaTheme="minorHAnsi" w:hAnsi="Times New Roman"/>
              <w:sz w:val="24"/>
              <w:szCs w:val="24"/>
              <w:lang w:eastAsia="en-US"/>
            </w:rPr>
            <m:t>100</m:t>
          </m:r>
        </m:oMath>
      </m:oMathPara>
    </w:p>
    <w:p w14:paraId="255CF64D" w14:textId="77777777" w:rsidR="000C1E0E" w:rsidRDefault="000C1E0E" w:rsidP="000C1E0E">
      <w:pPr>
        <w:spacing w:after="120" w:line="360" w:lineRule="auto"/>
        <w:ind w:firstLine="426"/>
        <w:rPr>
          <w:rFonts w:ascii="Times New Roman" w:eastAsiaTheme="minorHAnsi" w:hAnsi="Times New Roman"/>
          <w:sz w:val="24"/>
          <w:szCs w:val="24"/>
          <w:lang w:eastAsia="en-US"/>
        </w:rPr>
      </w:pPr>
      <m:oMath>
        <m:r>
          <w:rPr>
            <w:rFonts w:ascii="Cambria Math" w:eastAsiaTheme="minorHAnsi" w:hAnsi="Cambria Math"/>
            <w:sz w:val="24"/>
            <w:szCs w:val="24"/>
            <w:lang w:eastAsia="en-US"/>
          </w:rPr>
          <m:t>Y</m:t>
        </m:r>
      </m:oMath>
      <w:r>
        <w:rPr>
          <w:rFonts w:ascii="Times New Roman" w:eastAsiaTheme="minorHAnsi" w:hAnsi="Times New Roman"/>
          <w:sz w:val="24"/>
          <w:szCs w:val="24"/>
          <w:lang w:eastAsia="en-US"/>
        </w:rPr>
        <w:t xml:space="preserve"> – значение доходности соответствующего индекса, раскрытого ПАО «Московская биржа».</w:t>
      </w:r>
    </w:p>
    <w:p w14:paraId="7A61BFC9" w14:textId="77777777" w:rsidR="000C1E0E" w:rsidRDefault="000C1E0E" w:rsidP="000C1E0E">
      <w:pPr>
        <w:spacing w:after="120" w:line="360" w:lineRule="auto"/>
        <w:ind w:firstLine="426"/>
        <w:rPr>
          <w:rFonts w:ascii="Times New Roman" w:eastAsiaTheme="minorHAnsi" w:hAnsi="Times New Roman"/>
          <w:sz w:val="24"/>
          <w:szCs w:val="24"/>
          <w:lang w:eastAsia="en-US"/>
        </w:rPr>
      </w:pPr>
      <w:r>
        <w:rPr>
          <w:rFonts w:ascii="Times New Roman" w:eastAsiaTheme="minorHAnsi" w:hAnsi="Times New Roman"/>
          <w:sz w:val="24"/>
          <w:szCs w:val="24"/>
          <w:lang w:eastAsia="en-US"/>
        </w:rPr>
        <w:t xml:space="preserve">Рассчитывается медианное значение кредитного спреда  </w:t>
      </w:r>
      <m:oMath>
        <m:sSub>
          <m:sSubPr>
            <m:ctrlPr>
              <w:rPr>
                <w:rFonts w:ascii="Cambria Math" w:eastAsiaTheme="minorHAnsi" w:hAnsi="Cambria Math"/>
                <w:sz w:val="24"/>
                <w:szCs w:val="24"/>
                <w:lang w:eastAsia="en-US"/>
              </w:rPr>
            </m:ctrlPr>
          </m:sSubPr>
          <m:e>
            <m:r>
              <w:rPr>
                <w:rFonts w:ascii="Cambria Math" w:eastAsiaTheme="minorHAnsi" w:hAnsi="Cambria Math"/>
                <w:sz w:val="24"/>
                <w:szCs w:val="24"/>
                <w:lang w:eastAsia="en-US"/>
              </w:rPr>
              <m:t>S</m:t>
            </m:r>
          </m:e>
          <m:sub>
            <m:r>
              <m:rPr>
                <m:sty m:val="p"/>
              </m:rPr>
              <w:rPr>
                <w:rFonts w:ascii="Cambria Math" w:eastAsiaTheme="minorHAnsi" w:hAnsi="Cambria Math"/>
                <w:sz w:val="24"/>
                <w:szCs w:val="24"/>
                <w:lang w:eastAsia="en-US"/>
              </w:rPr>
              <m:t>РГ</m:t>
            </m:r>
            <m:r>
              <w:rPr>
                <w:rFonts w:ascii="Cambria Math" w:eastAsiaTheme="minorHAnsi" w:hAnsi="Cambria Math"/>
                <w:sz w:val="24"/>
                <w:szCs w:val="24"/>
                <w:lang w:eastAsia="en-US"/>
              </w:rPr>
              <m:t>II</m:t>
            </m:r>
          </m:sub>
        </m:sSub>
      </m:oMath>
      <w:r>
        <w:rPr>
          <w:rFonts w:ascii="Times New Roman" w:eastAsiaTheme="minorHAnsi" w:hAnsi="Times New Roman"/>
          <w:sz w:val="24"/>
          <w:szCs w:val="24"/>
          <w:lang w:eastAsia="en-US"/>
        </w:rPr>
        <w:t xml:space="preserve"> за последние 20 торговых дней (медиана из полученного ряда </w:t>
      </w:r>
      <m:oMath>
        <m:sSub>
          <m:sSubPr>
            <m:ctrlPr>
              <w:rPr>
                <w:rFonts w:ascii="Cambria Math" w:eastAsiaTheme="minorHAnsi" w:hAnsi="Cambria Math"/>
                <w:sz w:val="24"/>
                <w:szCs w:val="24"/>
                <w:lang w:eastAsia="en-US"/>
              </w:rPr>
            </m:ctrlPr>
          </m:sSubPr>
          <m:e>
            <m:r>
              <w:rPr>
                <w:rFonts w:ascii="Cambria Math" w:eastAsiaTheme="minorHAnsi" w:hAnsi="Cambria Math"/>
                <w:sz w:val="24"/>
                <w:szCs w:val="24"/>
                <w:lang w:eastAsia="en-US"/>
              </w:rPr>
              <m:t>S</m:t>
            </m:r>
          </m:e>
          <m:sub>
            <m:r>
              <m:rPr>
                <m:sty m:val="p"/>
              </m:rPr>
              <w:rPr>
                <w:rFonts w:ascii="Cambria Math" w:eastAsiaTheme="minorHAnsi" w:hAnsi="Cambria Math"/>
                <w:sz w:val="24"/>
                <w:szCs w:val="24"/>
                <w:lang w:eastAsia="en-US"/>
              </w:rPr>
              <m:t>РГ</m:t>
            </m:r>
            <m:r>
              <w:rPr>
                <w:rFonts w:ascii="Cambria Math" w:eastAsiaTheme="minorHAnsi" w:hAnsi="Cambria Math"/>
                <w:sz w:val="24"/>
                <w:szCs w:val="24"/>
                <w:lang w:eastAsia="en-US"/>
              </w:rPr>
              <m:t>II</m:t>
            </m:r>
          </m:sub>
        </m:sSub>
      </m:oMath>
      <w:r>
        <w:rPr>
          <w:rFonts w:ascii="Times New Roman" w:eastAsiaTheme="minorHAnsi" w:hAnsi="Times New Roman"/>
          <w:sz w:val="24"/>
          <w:szCs w:val="24"/>
          <w:lang w:eastAsia="en-US"/>
        </w:rPr>
        <w:t xml:space="preserve">). При расчете значения медианного кредитного спреда промежуточные округления значений </w:t>
      </w:r>
      <m:oMath>
        <m:sSub>
          <m:sSubPr>
            <m:ctrlPr>
              <w:rPr>
                <w:rFonts w:ascii="Cambria Math" w:eastAsiaTheme="minorHAnsi" w:hAnsi="Cambria Math"/>
                <w:sz w:val="24"/>
                <w:szCs w:val="24"/>
                <w:lang w:eastAsia="en-US"/>
              </w:rPr>
            </m:ctrlPr>
          </m:sSubPr>
          <m:e>
            <m:r>
              <w:rPr>
                <w:rFonts w:ascii="Cambria Math" w:eastAsiaTheme="minorHAnsi" w:hAnsi="Cambria Math"/>
                <w:sz w:val="24"/>
                <w:szCs w:val="24"/>
                <w:lang w:eastAsia="en-US"/>
              </w:rPr>
              <m:t>S</m:t>
            </m:r>
          </m:e>
          <m:sub>
            <m:r>
              <m:rPr>
                <m:sty m:val="p"/>
              </m:rPr>
              <w:rPr>
                <w:rFonts w:ascii="Cambria Math" w:eastAsiaTheme="minorHAnsi" w:hAnsi="Cambria Math"/>
                <w:sz w:val="24"/>
                <w:szCs w:val="24"/>
                <w:lang w:eastAsia="en-US"/>
              </w:rPr>
              <m:t>РГ</m:t>
            </m:r>
            <m:r>
              <w:rPr>
                <w:rFonts w:ascii="Cambria Math" w:eastAsiaTheme="minorHAnsi" w:hAnsi="Cambria Math"/>
                <w:sz w:val="24"/>
                <w:szCs w:val="24"/>
                <w:lang w:eastAsia="en-US"/>
              </w:rPr>
              <m:t>II</m:t>
            </m:r>
          </m:sub>
        </m:sSub>
      </m:oMath>
      <w:r>
        <w:rPr>
          <w:rFonts w:ascii="Times New Roman" w:eastAsiaTheme="minorHAnsi" w:hAnsi="Times New Roman"/>
          <w:sz w:val="24"/>
          <w:szCs w:val="24"/>
          <w:lang w:eastAsia="en-US"/>
        </w:rPr>
        <w:t xml:space="preserve"> не производятся, результат расчета округляется по правилам математического округления с точностью до 2 знаков после запятой.</w:t>
      </w:r>
    </w:p>
    <w:p w14:paraId="13077DBB" w14:textId="77777777" w:rsidR="000C1E0E" w:rsidRDefault="000C1E0E" w:rsidP="000C1E0E">
      <w:pPr>
        <w:spacing w:after="120" w:line="360" w:lineRule="auto"/>
        <w:ind w:firstLine="426"/>
        <w:rPr>
          <w:rFonts w:ascii="Times New Roman" w:eastAsiaTheme="minorHAnsi" w:hAnsi="Times New Roman"/>
          <w:b/>
          <w:sz w:val="24"/>
          <w:szCs w:val="24"/>
          <w:lang w:eastAsia="en-US"/>
        </w:rPr>
      </w:pPr>
      <w:r>
        <w:rPr>
          <w:rFonts w:ascii="Times New Roman" w:eastAsiaTheme="minorHAnsi" w:hAnsi="Times New Roman"/>
          <w:b/>
          <w:sz w:val="24"/>
          <w:szCs w:val="24"/>
          <w:lang w:eastAsia="en-US"/>
        </w:rPr>
        <w:t>Рейтинговая группа III</w:t>
      </w:r>
    </w:p>
    <w:p w14:paraId="216F1E37" w14:textId="77777777" w:rsidR="000C1E0E" w:rsidRDefault="000C1E0E" w:rsidP="000C1E0E">
      <w:pPr>
        <w:spacing w:after="120" w:line="360" w:lineRule="auto"/>
        <w:ind w:firstLine="426"/>
        <w:rPr>
          <w:rFonts w:ascii="Times New Roman" w:eastAsiaTheme="minorHAnsi" w:hAnsi="Times New Roman"/>
          <w:sz w:val="24"/>
          <w:szCs w:val="24"/>
          <w:lang w:eastAsia="en-US"/>
        </w:rPr>
      </w:pPr>
      <w:r>
        <w:rPr>
          <w:rFonts w:ascii="Times New Roman" w:eastAsiaTheme="minorHAnsi" w:hAnsi="Times New Roman"/>
          <w:sz w:val="24"/>
          <w:szCs w:val="24"/>
          <w:lang w:eastAsia="en-US"/>
        </w:rPr>
        <w:t xml:space="preserve">Рассчитывается кредитный спред </w:t>
      </w:r>
      <m:oMath>
        <m:sSub>
          <m:sSubPr>
            <m:ctrlPr>
              <w:rPr>
                <w:rFonts w:ascii="Cambria Math" w:eastAsiaTheme="minorHAnsi" w:hAnsi="Cambria Math"/>
                <w:sz w:val="24"/>
                <w:szCs w:val="24"/>
                <w:lang w:eastAsia="en-US"/>
              </w:rPr>
            </m:ctrlPr>
          </m:sSubPr>
          <m:e>
            <m:r>
              <w:rPr>
                <w:rFonts w:ascii="Cambria Math" w:eastAsiaTheme="minorHAnsi" w:hAnsi="Cambria Math"/>
                <w:sz w:val="24"/>
                <w:szCs w:val="24"/>
                <w:lang w:eastAsia="en-US"/>
              </w:rPr>
              <m:t>S</m:t>
            </m:r>
          </m:e>
          <m:sub>
            <m:r>
              <m:rPr>
                <m:sty m:val="p"/>
              </m:rPr>
              <w:rPr>
                <w:rFonts w:ascii="Cambria Math" w:eastAsiaTheme="minorHAnsi" w:hAnsi="Cambria Math"/>
                <w:sz w:val="24"/>
                <w:szCs w:val="24"/>
                <w:lang w:eastAsia="en-US"/>
              </w:rPr>
              <m:t>РГ</m:t>
            </m:r>
            <m:r>
              <w:rPr>
                <w:rFonts w:ascii="Cambria Math" w:eastAsiaTheme="minorHAnsi" w:hAnsi="Cambria Math"/>
                <w:sz w:val="24"/>
                <w:szCs w:val="24"/>
                <w:lang w:eastAsia="en-US"/>
              </w:rPr>
              <m:t>III</m:t>
            </m:r>
          </m:sub>
        </m:sSub>
      </m:oMath>
      <w:r>
        <w:rPr>
          <w:rFonts w:ascii="Times New Roman" w:eastAsiaTheme="minorHAnsi" w:hAnsi="Times New Roman"/>
          <w:sz w:val="24"/>
          <w:szCs w:val="24"/>
          <w:lang w:eastAsia="en-US"/>
        </w:rPr>
        <w:t xml:space="preserve"> за каждый из 20 последних торговых дней, предшествующих дате определения справедливой стоимости: </w:t>
      </w:r>
    </w:p>
    <w:p w14:paraId="3EE6EF0F" w14:textId="77777777" w:rsidR="000C1E0E" w:rsidRDefault="00C74876" w:rsidP="000C1E0E">
      <w:pPr>
        <w:spacing w:after="120" w:line="360" w:lineRule="auto"/>
        <w:ind w:firstLine="426"/>
        <w:rPr>
          <w:rFonts w:ascii="Times New Roman" w:eastAsiaTheme="minorHAnsi" w:hAnsi="Times New Roman"/>
          <w:sz w:val="24"/>
          <w:szCs w:val="24"/>
          <w:lang w:eastAsia="en-US"/>
        </w:rPr>
      </w:pPr>
      <m:oMathPara>
        <m:oMath>
          <m:sSub>
            <m:sSubPr>
              <m:ctrlPr>
                <w:rPr>
                  <w:rFonts w:ascii="Cambria Math" w:eastAsiaTheme="minorHAnsi" w:hAnsi="Cambria Math"/>
                  <w:sz w:val="24"/>
                  <w:szCs w:val="24"/>
                  <w:lang w:eastAsia="en-US"/>
                </w:rPr>
              </m:ctrlPr>
            </m:sSubPr>
            <m:e>
              <m:r>
                <w:rPr>
                  <w:rFonts w:ascii="Cambria Math" w:eastAsiaTheme="minorHAnsi" w:hAnsi="Cambria Math"/>
                  <w:sz w:val="24"/>
                  <w:szCs w:val="24"/>
                  <w:lang w:eastAsia="en-US"/>
                </w:rPr>
                <m:t>S</m:t>
              </m:r>
            </m:e>
            <m:sub>
              <m:r>
                <m:rPr>
                  <m:sty m:val="p"/>
                </m:rPr>
                <w:rPr>
                  <w:rFonts w:ascii="Cambria Math" w:eastAsiaTheme="minorHAnsi" w:hAnsi="Cambria Math"/>
                  <w:sz w:val="24"/>
                  <w:szCs w:val="24"/>
                  <w:lang w:val="en-US" w:eastAsia="en-US"/>
                </w:rPr>
                <m:t>РГ</m:t>
              </m:r>
              <m:r>
                <w:rPr>
                  <w:rFonts w:ascii="Cambria Math" w:eastAsiaTheme="minorHAnsi" w:hAnsi="Cambria Math"/>
                  <w:sz w:val="24"/>
                  <w:szCs w:val="24"/>
                  <w:lang w:eastAsia="en-US"/>
                </w:rPr>
                <m:t>III</m:t>
              </m:r>
            </m:sub>
          </m:sSub>
          <m:r>
            <m:rPr>
              <m:sty m:val="p"/>
            </m:rPr>
            <w:rPr>
              <w:rFonts w:ascii="Cambria Math" w:eastAsiaTheme="minorHAnsi" w:hAnsi="Times New Roman"/>
              <w:sz w:val="24"/>
              <w:szCs w:val="24"/>
              <w:lang w:eastAsia="en-US"/>
            </w:rPr>
            <m:t>=</m:t>
          </m:r>
          <m:d>
            <m:dPr>
              <m:ctrlPr>
                <w:rPr>
                  <w:rFonts w:ascii="Cambria Math" w:eastAsiaTheme="minorHAnsi" w:hAnsi="Cambria Math"/>
                  <w:sz w:val="24"/>
                  <w:szCs w:val="24"/>
                  <w:lang w:eastAsia="en-US"/>
                </w:rPr>
              </m:ctrlPr>
            </m:dPr>
            <m:e>
              <m:sSub>
                <m:sSubPr>
                  <m:ctrlPr>
                    <w:rPr>
                      <w:rFonts w:ascii="Cambria Math" w:eastAsiaTheme="minorHAnsi" w:hAnsi="Cambria Math"/>
                      <w:sz w:val="24"/>
                      <w:szCs w:val="24"/>
                      <w:lang w:eastAsia="en-US"/>
                    </w:rPr>
                  </m:ctrlPr>
                </m:sSubPr>
                <m:e>
                  <m:r>
                    <w:rPr>
                      <w:rFonts w:ascii="Cambria Math" w:eastAsiaTheme="minorHAnsi" w:hAnsi="Cambria Math"/>
                      <w:sz w:val="24"/>
                      <w:szCs w:val="24"/>
                      <w:lang w:eastAsia="en-US"/>
                    </w:rPr>
                    <m:t>Y</m:t>
                  </m:r>
                </m:e>
                <m:sub>
                  <m:r>
                    <m:rPr>
                      <m:sty m:val="p"/>
                    </m:rPr>
                    <w:rPr>
                      <w:rFonts w:ascii="Cambria Math" w:eastAsiaTheme="minorHAnsi" w:hAnsi="Times New Roman"/>
                      <w:sz w:val="24"/>
                      <w:szCs w:val="24"/>
                      <w:lang w:eastAsia="en-US"/>
                    </w:rPr>
                    <m:t>RUCBICPB3Y</m:t>
                  </m:r>
                </m:sub>
              </m:sSub>
              <m:r>
                <m:rPr>
                  <m:sty m:val="p"/>
                </m:rPr>
                <w:rPr>
                  <w:rFonts w:ascii="Cambria Math" w:eastAsiaTheme="minorHAnsi" w:hAnsi="Cambria Math"/>
                  <w:sz w:val="24"/>
                  <w:szCs w:val="24"/>
                  <w:lang w:eastAsia="en-US"/>
                </w:rPr>
                <m:t>-</m:t>
              </m:r>
              <m:sSub>
                <m:sSubPr>
                  <m:ctrlPr>
                    <w:rPr>
                      <w:rFonts w:ascii="Cambria Math" w:eastAsiaTheme="minorHAnsi" w:hAnsi="Cambria Math"/>
                      <w:sz w:val="24"/>
                      <w:szCs w:val="24"/>
                      <w:lang w:eastAsia="en-US"/>
                    </w:rPr>
                  </m:ctrlPr>
                </m:sSubPr>
                <m:e>
                  <m:r>
                    <w:rPr>
                      <w:rFonts w:ascii="Cambria Math" w:eastAsiaTheme="minorHAnsi" w:hAnsi="Cambria Math"/>
                      <w:sz w:val="24"/>
                      <w:szCs w:val="24"/>
                      <w:lang w:eastAsia="en-US"/>
                    </w:rPr>
                    <m:t>Y</m:t>
                  </m:r>
                </m:e>
                <m:sub>
                  <m:r>
                    <m:rPr>
                      <m:sty m:val="p"/>
                    </m:rPr>
                    <w:rPr>
                      <w:rFonts w:ascii="Cambria Math" w:eastAsiaTheme="minorHAnsi" w:hAnsi="Times New Roman"/>
                      <w:sz w:val="24"/>
                      <w:szCs w:val="24"/>
                      <w:lang w:eastAsia="en-US"/>
                    </w:rPr>
                    <m:t>RUGBICP3Y</m:t>
                  </m:r>
                </m:sub>
              </m:sSub>
            </m:e>
          </m:d>
          <m:r>
            <m:rPr>
              <m:sty m:val="p"/>
            </m:rPr>
            <w:rPr>
              <w:rFonts w:ascii="Cambria Math" w:eastAsiaTheme="minorHAnsi" w:hAnsi="Cambria Math"/>
              <w:sz w:val="24"/>
              <w:szCs w:val="24"/>
              <w:lang w:eastAsia="en-US"/>
            </w:rPr>
            <m:t>*</m:t>
          </m:r>
          <m:r>
            <m:rPr>
              <m:sty m:val="p"/>
            </m:rPr>
            <w:rPr>
              <w:rFonts w:ascii="Cambria Math" w:eastAsiaTheme="minorHAnsi" w:hAnsi="Times New Roman"/>
              <w:sz w:val="24"/>
              <w:szCs w:val="24"/>
              <w:lang w:eastAsia="en-US"/>
            </w:rPr>
            <m:t>100</m:t>
          </m:r>
        </m:oMath>
      </m:oMathPara>
    </w:p>
    <w:p w14:paraId="3C6DEC70" w14:textId="77777777" w:rsidR="000C1E0E" w:rsidRDefault="000C1E0E" w:rsidP="000C1E0E">
      <w:pPr>
        <w:spacing w:after="120" w:line="360" w:lineRule="auto"/>
        <w:ind w:firstLine="426"/>
        <w:rPr>
          <w:rFonts w:ascii="Times New Roman" w:eastAsiaTheme="minorHAnsi" w:hAnsi="Times New Roman"/>
          <w:sz w:val="24"/>
          <w:szCs w:val="24"/>
          <w:lang w:eastAsia="en-US"/>
        </w:rPr>
      </w:pPr>
      <m:oMath>
        <m:r>
          <w:rPr>
            <w:rFonts w:ascii="Cambria Math" w:eastAsiaTheme="minorHAnsi" w:hAnsi="Cambria Math"/>
            <w:sz w:val="24"/>
            <w:szCs w:val="24"/>
            <w:lang w:eastAsia="en-US"/>
          </w:rPr>
          <m:t>Y</m:t>
        </m:r>
      </m:oMath>
      <w:r>
        <w:rPr>
          <w:rFonts w:ascii="Times New Roman" w:eastAsiaTheme="minorHAnsi" w:hAnsi="Times New Roman"/>
          <w:sz w:val="24"/>
          <w:szCs w:val="24"/>
          <w:lang w:eastAsia="en-US"/>
        </w:rPr>
        <w:t xml:space="preserve"> – значение доходности соответствующего индекса, раскрытого ПАО «Московская биржа».</w:t>
      </w:r>
    </w:p>
    <w:p w14:paraId="6014644B" w14:textId="77777777" w:rsidR="000C1E0E" w:rsidRDefault="000C1E0E" w:rsidP="000C1E0E">
      <w:pPr>
        <w:spacing w:after="120" w:line="360" w:lineRule="auto"/>
        <w:ind w:firstLine="426"/>
        <w:rPr>
          <w:rFonts w:ascii="Times New Roman" w:eastAsiaTheme="minorHAnsi" w:hAnsi="Times New Roman"/>
          <w:sz w:val="24"/>
          <w:szCs w:val="24"/>
          <w:lang w:eastAsia="en-US"/>
        </w:rPr>
      </w:pPr>
      <w:r>
        <w:rPr>
          <w:rFonts w:ascii="Times New Roman" w:eastAsiaTheme="minorHAnsi" w:hAnsi="Times New Roman"/>
          <w:sz w:val="24"/>
          <w:szCs w:val="24"/>
          <w:lang w:eastAsia="en-US"/>
        </w:rPr>
        <w:t xml:space="preserve">Рассчитывается медианное значение кредитного спреда  </w:t>
      </w:r>
      <m:oMath>
        <m:sSub>
          <m:sSubPr>
            <m:ctrlPr>
              <w:rPr>
                <w:rFonts w:ascii="Cambria Math" w:eastAsiaTheme="minorHAnsi" w:hAnsi="Cambria Math"/>
                <w:sz w:val="24"/>
                <w:szCs w:val="24"/>
                <w:lang w:eastAsia="en-US"/>
              </w:rPr>
            </m:ctrlPr>
          </m:sSubPr>
          <m:e>
            <m:r>
              <w:rPr>
                <w:rFonts w:ascii="Cambria Math" w:eastAsiaTheme="minorHAnsi" w:hAnsi="Cambria Math"/>
                <w:sz w:val="24"/>
                <w:szCs w:val="24"/>
                <w:lang w:eastAsia="en-US"/>
              </w:rPr>
              <m:t>S</m:t>
            </m:r>
          </m:e>
          <m:sub>
            <m:r>
              <m:rPr>
                <m:sty m:val="p"/>
              </m:rPr>
              <w:rPr>
                <w:rFonts w:ascii="Cambria Math" w:eastAsiaTheme="minorHAnsi" w:hAnsi="Cambria Math"/>
                <w:sz w:val="24"/>
                <w:szCs w:val="24"/>
                <w:lang w:eastAsia="en-US"/>
              </w:rPr>
              <m:t>РГ</m:t>
            </m:r>
            <m:r>
              <w:rPr>
                <w:rFonts w:ascii="Cambria Math" w:eastAsiaTheme="minorHAnsi" w:hAnsi="Cambria Math"/>
                <w:sz w:val="24"/>
                <w:szCs w:val="24"/>
                <w:lang w:eastAsia="en-US"/>
              </w:rPr>
              <m:t>III</m:t>
            </m:r>
          </m:sub>
        </m:sSub>
      </m:oMath>
      <w:r>
        <w:rPr>
          <w:rFonts w:ascii="Times New Roman" w:eastAsiaTheme="minorHAnsi" w:hAnsi="Times New Roman"/>
          <w:sz w:val="24"/>
          <w:szCs w:val="24"/>
          <w:lang w:eastAsia="en-US"/>
        </w:rPr>
        <w:t xml:space="preserve"> за последние 20 торговых дней (медиана из полученного ряда </w:t>
      </w:r>
      <m:oMath>
        <m:sSub>
          <m:sSubPr>
            <m:ctrlPr>
              <w:rPr>
                <w:rFonts w:ascii="Cambria Math" w:eastAsiaTheme="minorHAnsi" w:hAnsi="Cambria Math"/>
                <w:sz w:val="24"/>
                <w:szCs w:val="24"/>
                <w:lang w:eastAsia="en-US"/>
              </w:rPr>
            </m:ctrlPr>
          </m:sSubPr>
          <m:e>
            <m:r>
              <w:rPr>
                <w:rFonts w:ascii="Cambria Math" w:eastAsiaTheme="minorHAnsi" w:hAnsi="Cambria Math"/>
                <w:sz w:val="24"/>
                <w:szCs w:val="24"/>
                <w:lang w:eastAsia="en-US"/>
              </w:rPr>
              <m:t>S</m:t>
            </m:r>
          </m:e>
          <m:sub>
            <m:r>
              <m:rPr>
                <m:sty m:val="p"/>
              </m:rPr>
              <w:rPr>
                <w:rFonts w:ascii="Cambria Math" w:eastAsiaTheme="minorHAnsi" w:hAnsi="Cambria Math"/>
                <w:sz w:val="24"/>
                <w:szCs w:val="24"/>
                <w:lang w:eastAsia="en-US"/>
              </w:rPr>
              <m:t>РГ</m:t>
            </m:r>
            <m:r>
              <w:rPr>
                <w:rFonts w:ascii="Cambria Math" w:eastAsiaTheme="minorHAnsi" w:hAnsi="Cambria Math"/>
                <w:sz w:val="24"/>
                <w:szCs w:val="24"/>
                <w:lang w:eastAsia="en-US"/>
              </w:rPr>
              <m:t>III</m:t>
            </m:r>
          </m:sub>
        </m:sSub>
      </m:oMath>
      <w:r>
        <w:rPr>
          <w:rFonts w:ascii="Times New Roman" w:eastAsiaTheme="minorHAnsi" w:hAnsi="Times New Roman"/>
          <w:sz w:val="24"/>
          <w:szCs w:val="24"/>
          <w:lang w:eastAsia="en-US"/>
        </w:rPr>
        <w:t xml:space="preserve">). При расчете значения медианного кредитного спреда промежуточные округления значений </w:t>
      </w:r>
      <m:oMath>
        <m:sSub>
          <m:sSubPr>
            <m:ctrlPr>
              <w:rPr>
                <w:rFonts w:ascii="Cambria Math" w:eastAsiaTheme="minorHAnsi" w:hAnsi="Cambria Math"/>
                <w:sz w:val="24"/>
                <w:szCs w:val="24"/>
                <w:lang w:eastAsia="en-US"/>
              </w:rPr>
            </m:ctrlPr>
          </m:sSubPr>
          <m:e>
            <m:r>
              <w:rPr>
                <w:rFonts w:ascii="Cambria Math" w:eastAsiaTheme="minorHAnsi" w:hAnsi="Cambria Math"/>
                <w:sz w:val="24"/>
                <w:szCs w:val="24"/>
                <w:lang w:eastAsia="en-US"/>
              </w:rPr>
              <m:t>S</m:t>
            </m:r>
          </m:e>
          <m:sub>
            <m:r>
              <m:rPr>
                <m:sty m:val="p"/>
              </m:rPr>
              <w:rPr>
                <w:rFonts w:ascii="Cambria Math" w:eastAsiaTheme="minorHAnsi" w:hAnsi="Cambria Math"/>
                <w:sz w:val="24"/>
                <w:szCs w:val="24"/>
                <w:lang w:eastAsia="en-US"/>
              </w:rPr>
              <m:t>РГ</m:t>
            </m:r>
            <m:r>
              <w:rPr>
                <w:rFonts w:ascii="Cambria Math" w:eastAsiaTheme="minorHAnsi" w:hAnsi="Cambria Math"/>
                <w:sz w:val="24"/>
                <w:szCs w:val="24"/>
                <w:lang w:eastAsia="en-US"/>
              </w:rPr>
              <m:t>III</m:t>
            </m:r>
          </m:sub>
        </m:sSub>
      </m:oMath>
      <w:r>
        <w:rPr>
          <w:rFonts w:ascii="Times New Roman" w:eastAsiaTheme="minorHAnsi" w:hAnsi="Times New Roman"/>
          <w:sz w:val="24"/>
          <w:szCs w:val="24"/>
          <w:lang w:eastAsia="en-US"/>
        </w:rPr>
        <w:t xml:space="preserve"> не производятся, результат расчета округляется по правилам математического округления с точностью до 2 знаков после запятой.</w:t>
      </w:r>
    </w:p>
    <w:p w14:paraId="095888C3" w14:textId="77777777" w:rsidR="000C1E0E" w:rsidRDefault="000C1E0E" w:rsidP="000C1E0E">
      <w:pPr>
        <w:spacing w:after="120" w:line="360" w:lineRule="auto"/>
        <w:ind w:firstLine="426"/>
        <w:rPr>
          <w:rFonts w:ascii="Times New Roman" w:eastAsiaTheme="minorHAnsi" w:hAnsi="Times New Roman"/>
          <w:b/>
          <w:sz w:val="24"/>
          <w:szCs w:val="24"/>
          <w:lang w:eastAsia="en-US"/>
        </w:rPr>
      </w:pPr>
      <w:r>
        <w:rPr>
          <w:rFonts w:ascii="Times New Roman" w:eastAsiaTheme="minorHAnsi" w:hAnsi="Times New Roman"/>
          <w:b/>
          <w:sz w:val="24"/>
          <w:szCs w:val="24"/>
          <w:lang w:eastAsia="en-US"/>
        </w:rPr>
        <w:t>Рейтинговая группа IV</w:t>
      </w:r>
    </w:p>
    <w:p w14:paraId="24834974" w14:textId="77777777" w:rsidR="000C1E0E" w:rsidRDefault="000C1E0E" w:rsidP="000C1E0E">
      <w:pPr>
        <w:spacing w:after="120" w:line="360" w:lineRule="auto"/>
        <w:ind w:firstLine="426"/>
        <w:rPr>
          <w:rFonts w:ascii="Times New Roman" w:eastAsiaTheme="minorHAnsi" w:hAnsi="Times New Roman"/>
          <w:sz w:val="24"/>
          <w:szCs w:val="24"/>
          <w:lang w:eastAsia="en-US"/>
        </w:rPr>
      </w:pPr>
      <w:r>
        <w:rPr>
          <w:rFonts w:ascii="Times New Roman" w:eastAsiaTheme="minorHAnsi" w:hAnsi="Times New Roman"/>
          <w:sz w:val="24"/>
          <w:szCs w:val="24"/>
          <w:lang w:eastAsia="en-US"/>
        </w:rPr>
        <w:t xml:space="preserve">Рассчитывается кредитный спред </w:t>
      </w:r>
      <m:oMath>
        <m:sSub>
          <m:sSubPr>
            <m:ctrlPr>
              <w:rPr>
                <w:rFonts w:ascii="Cambria Math" w:eastAsiaTheme="minorHAnsi" w:hAnsi="Cambria Math"/>
                <w:sz w:val="24"/>
                <w:szCs w:val="24"/>
                <w:lang w:eastAsia="en-US"/>
              </w:rPr>
            </m:ctrlPr>
          </m:sSubPr>
          <m:e>
            <m:r>
              <w:rPr>
                <w:rFonts w:ascii="Cambria Math" w:eastAsiaTheme="minorHAnsi" w:hAnsi="Cambria Math"/>
                <w:sz w:val="24"/>
                <w:szCs w:val="24"/>
                <w:lang w:eastAsia="en-US"/>
              </w:rPr>
              <m:t>S</m:t>
            </m:r>
          </m:e>
          <m:sub>
            <m:r>
              <m:rPr>
                <m:sty m:val="p"/>
              </m:rPr>
              <w:rPr>
                <w:rFonts w:ascii="Cambria Math" w:eastAsiaTheme="minorHAnsi" w:hAnsi="Cambria Math"/>
                <w:sz w:val="24"/>
                <w:szCs w:val="24"/>
                <w:lang w:eastAsia="en-US"/>
              </w:rPr>
              <m:t>РГ</m:t>
            </m:r>
            <m:r>
              <w:rPr>
                <w:rFonts w:ascii="Cambria Math" w:eastAsiaTheme="minorHAnsi" w:hAnsi="Cambria Math"/>
                <w:sz w:val="24"/>
                <w:szCs w:val="24"/>
                <w:lang w:eastAsia="en-US"/>
              </w:rPr>
              <m:t>IV</m:t>
            </m:r>
          </m:sub>
        </m:sSub>
      </m:oMath>
      <w:r>
        <w:rPr>
          <w:rFonts w:ascii="Times New Roman" w:eastAsiaTheme="minorHAnsi" w:hAnsi="Times New Roman"/>
          <w:sz w:val="24"/>
          <w:szCs w:val="24"/>
          <w:lang w:eastAsia="en-US"/>
        </w:rPr>
        <w:t xml:space="preserve"> за каждый из 20 последних торговых дней, предшествующих дате определения справедливой стоимости:</w:t>
      </w:r>
    </w:p>
    <w:p w14:paraId="5BA5ABD9" w14:textId="77777777" w:rsidR="000C1E0E" w:rsidRDefault="00C74876" w:rsidP="000C1E0E">
      <w:pPr>
        <w:spacing w:after="120" w:line="360" w:lineRule="auto"/>
        <w:ind w:firstLine="426"/>
        <w:rPr>
          <w:rFonts w:ascii="Times New Roman" w:eastAsiaTheme="minorHAnsi" w:hAnsi="Times New Roman"/>
          <w:sz w:val="24"/>
          <w:szCs w:val="24"/>
          <w:lang w:eastAsia="en-US"/>
        </w:rPr>
      </w:pPr>
      <m:oMath>
        <m:sSub>
          <m:sSubPr>
            <m:ctrlPr>
              <w:rPr>
                <w:rFonts w:ascii="Cambria Math" w:eastAsiaTheme="minorHAnsi" w:hAnsi="Cambria Math"/>
                <w:sz w:val="24"/>
                <w:szCs w:val="24"/>
                <w:lang w:eastAsia="en-US"/>
              </w:rPr>
            </m:ctrlPr>
          </m:sSubPr>
          <m:e>
            <m:r>
              <w:rPr>
                <w:rFonts w:ascii="Cambria Math" w:eastAsiaTheme="minorHAnsi" w:hAnsi="Cambria Math"/>
                <w:sz w:val="24"/>
                <w:szCs w:val="24"/>
                <w:lang w:eastAsia="en-US"/>
              </w:rPr>
              <m:t>S</m:t>
            </m:r>
          </m:e>
          <m:sub>
            <m:r>
              <m:rPr>
                <m:sty m:val="p"/>
              </m:rPr>
              <w:rPr>
                <w:rFonts w:ascii="Cambria Math" w:eastAsiaTheme="minorHAnsi" w:hAnsi="Cambria Math"/>
                <w:sz w:val="24"/>
                <w:szCs w:val="24"/>
                <w:lang w:eastAsia="en-US"/>
              </w:rPr>
              <m:t>РГ</m:t>
            </m:r>
            <m:r>
              <w:rPr>
                <w:rFonts w:ascii="Cambria Math" w:eastAsiaTheme="minorHAnsi" w:hAnsi="Cambria Math"/>
                <w:sz w:val="24"/>
                <w:szCs w:val="24"/>
                <w:lang w:eastAsia="en-US"/>
              </w:rPr>
              <m:t>IV</m:t>
            </m:r>
          </m:sub>
        </m:sSub>
        <m:r>
          <m:rPr>
            <m:sty m:val="p"/>
          </m:rPr>
          <w:rPr>
            <w:rFonts w:ascii="Cambria Math" w:eastAsiaTheme="minorHAnsi" w:hAnsi="Times New Roman"/>
            <w:sz w:val="24"/>
            <w:szCs w:val="24"/>
            <w:lang w:eastAsia="en-US"/>
          </w:rPr>
          <m:t>=</m:t>
        </m:r>
        <m:d>
          <m:dPr>
            <m:ctrlPr>
              <w:rPr>
                <w:rFonts w:ascii="Cambria Math" w:eastAsiaTheme="minorHAnsi" w:hAnsi="Cambria Math"/>
                <w:sz w:val="24"/>
                <w:szCs w:val="24"/>
                <w:lang w:eastAsia="en-US"/>
              </w:rPr>
            </m:ctrlPr>
          </m:dPr>
          <m:e>
            <m:sSub>
              <m:sSubPr>
                <m:ctrlPr>
                  <w:rPr>
                    <w:rFonts w:ascii="Cambria Math" w:eastAsiaTheme="minorHAnsi" w:hAnsi="Cambria Math"/>
                    <w:sz w:val="24"/>
                    <w:szCs w:val="24"/>
                    <w:lang w:eastAsia="en-US"/>
                  </w:rPr>
                </m:ctrlPr>
              </m:sSubPr>
              <m:e>
                <m:r>
                  <w:rPr>
                    <w:rFonts w:ascii="Cambria Math" w:eastAsiaTheme="minorHAnsi" w:hAnsi="Cambria Math"/>
                    <w:sz w:val="24"/>
                    <w:szCs w:val="24"/>
                    <w:lang w:eastAsia="en-US"/>
                  </w:rPr>
                  <m:t>Y</m:t>
                </m:r>
              </m:e>
              <m:sub>
                <m:r>
                  <m:rPr>
                    <m:sty m:val="p"/>
                  </m:rPr>
                  <w:rPr>
                    <w:rFonts w:ascii="Cambria Math" w:eastAsiaTheme="minorHAnsi" w:hAnsi="Times New Roman"/>
                    <w:sz w:val="24"/>
                    <w:szCs w:val="24"/>
                    <w:lang w:eastAsia="en-US"/>
                  </w:rPr>
                  <m:t xml:space="preserve">RUCBICPL3 </m:t>
                </m:r>
              </m:sub>
            </m:sSub>
            <m:r>
              <m:rPr>
                <m:sty m:val="p"/>
              </m:rPr>
              <w:rPr>
                <w:rFonts w:ascii="Cambria Math" w:eastAsiaTheme="minorHAnsi" w:hAnsi="Cambria Math"/>
                <w:sz w:val="24"/>
                <w:szCs w:val="24"/>
                <w:lang w:eastAsia="en-US"/>
              </w:rPr>
              <m:t>-</m:t>
            </m:r>
            <m:sSub>
              <m:sSubPr>
                <m:ctrlPr>
                  <w:rPr>
                    <w:rFonts w:ascii="Cambria Math" w:eastAsiaTheme="minorHAnsi" w:hAnsi="Cambria Math"/>
                    <w:sz w:val="24"/>
                    <w:szCs w:val="24"/>
                    <w:lang w:eastAsia="en-US"/>
                  </w:rPr>
                </m:ctrlPr>
              </m:sSubPr>
              <m:e>
                <m:r>
                  <w:rPr>
                    <w:rFonts w:ascii="Cambria Math" w:eastAsiaTheme="minorHAnsi" w:hAnsi="Cambria Math"/>
                    <w:sz w:val="24"/>
                    <w:szCs w:val="24"/>
                    <w:lang w:eastAsia="en-US"/>
                  </w:rPr>
                  <m:t>Y</m:t>
                </m:r>
              </m:e>
              <m:sub>
                <m:r>
                  <m:rPr>
                    <m:sty m:val="p"/>
                  </m:rPr>
                  <w:rPr>
                    <w:rFonts w:ascii="Cambria Math" w:eastAsiaTheme="minorHAnsi" w:hAnsi="Times New Roman"/>
                    <w:sz w:val="24"/>
                    <w:szCs w:val="24"/>
                    <w:lang w:eastAsia="en-US"/>
                  </w:rPr>
                  <m:t>RUGBICP3Y</m:t>
                </m:r>
              </m:sub>
            </m:sSub>
          </m:e>
        </m:d>
        <m:r>
          <m:rPr>
            <m:sty m:val="p"/>
          </m:rPr>
          <w:rPr>
            <w:rFonts w:ascii="Cambria Math" w:eastAsiaTheme="minorHAnsi" w:hAnsi="Cambria Math"/>
            <w:sz w:val="24"/>
            <w:szCs w:val="24"/>
            <w:lang w:eastAsia="en-US"/>
          </w:rPr>
          <m:t>*</m:t>
        </m:r>
        <m:r>
          <m:rPr>
            <m:sty m:val="p"/>
          </m:rPr>
          <w:rPr>
            <w:rFonts w:ascii="Cambria Math" w:eastAsiaTheme="minorHAnsi" w:hAnsi="Times New Roman"/>
            <w:sz w:val="24"/>
            <w:szCs w:val="24"/>
            <w:lang w:eastAsia="en-US"/>
          </w:rPr>
          <m:t>100</m:t>
        </m:r>
      </m:oMath>
      <w:r w:rsidR="000C1E0E">
        <w:rPr>
          <w:rFonts w:ascii="Times New Roman" w:eastAsiaTheme="minorHAnsi" w:hAnsi="Times New Roman"/>
          <w:sz w:val="24"/>
          <w:szCs w:val="24"/>
          <w:lang w:eastAsia="en-US"/>
        </w:rPr>
        <w:t>, (Формула 1)</w:t>
      </w:r>
    </w:p>
    <w:p w14:paraId="7DBE9352" w14:textId="77777777" w:rsidR="000C1E0E" w:rsidRDefault="00C74876" w:rsidP="000C1E0E">
      <w:pPr>
        <w:spacing w:after="120" w:line="360" w:lineRule="auto"/>
        <w:ind w:firstLine="426"/>
        <w:rPr>
          <w:rFonts w:ascii="Times New Roman" w:eastAsiaTheme="minorHAnsi" w:hAnsi="Times New Roman"/>
          <w:sz w:val="24"/>
          <w:szCs w:val="24"/>
          <w:lang w:eastAsia="en-US"/>
        </w:rPr>
      </w:pPr>
      <m:oMath>
        <m:sSub>
          <m:sSubPr>
            <m:ctrlPr>
              <w:rPr>
                <w:rFonts w:ascii="Cambria Math" w:eastAsiaTheme="minorHAnsi" w:hAnsi="Cambria Math"/>
                <w:sz w:val="24"/>
                <w:szCs w:val="24"/>
                <w:lang w:eastAsia="en-US"/>
              </w:rPr>
            </m:ctrlPr>
          </m:sSubPr>
          <m:e>
            <m:r>
              <w:rPr>
                <w:rFonts w:ascii="Cambria Math" w:eastAsiaTheme="minorHAnsi" w:hAnsi="Cambria Math"/>
                <w:sz w:val="24"/>
                <w:szCs w:val="24"/>
                <w:lang w:eastAsia="en-US"/>
              </w:rPr>
              <m:t>S</m:t>
            </m:r>
          </m:e>
          <m:sub>
            <m:r>
              <m:rPr>
                <m:sty m:val="p"/>
              </m:rPr>
              <w:rPr>
                <w:rFonts w:ascii="Cambria Math" w:eastAsiaTheme="minorHAnsi" w:hAnsi="Cambria Math"/>
                <w:sz w:val="24"/>
                <w:szCs w:val="24"/>
                <w:lang w:eastAsia="en-US"/>
              </w:rPr>
              <m:t>РГ</m:t>
            </m:r>
            <m:r>
              <w:rPr>
                <w:rFonts w:ascii="Cambria Math" w:eastAsiaTheme="minorHAnsi" w:hAnsi="Cambria Math"/>
                <w:sz w:val="24"/>
                <w:szCs w:val="24"/>
                <w:lang w:eastAsia="en-US"/>
              </w:rPr>
              <m:t>IV</m:t>
            </m:r>
          </m:sub>
        </m:sSub>
        <m:r>
          <m:rPr>
            <m:sty m:val="p"/>
          </m:rPr>
          <w:rPr>
            <w:rFonts w:ascii="Cambria Math" w:eastAsiaTheme="minorHAnsi" w:hAnsi="Times New Roman"/>
            <w:sz w:val="24"/>
            <w:szCs w:val="24"/>
            <w:lang w:eastAsia="en-US"/>
          </w:rPr>
          <m:t>=</m:t>
        </m:r>
        <m:d>
          <m:dPr>
            <m:ctrlPr>
              <w:rPr>
                <w:rFonts w:ascii="Cambria Math" w:eastAsiaTheme="minorHAnsi" w:hAnsi="Cambria Math"/>
                <w:sz w:val="24"/>
                <w:szCs w:val="24"/>
                <w:lang w:eastAsia="en-US"/>
              </w:rPr>
            </m:ctrlPr>
          </m:dPr>
          <m:e>
            <m:sSub>
              <m:sSubPr>
                <m:ctrlPr>
                  <w:rPr>
                    <w:rFonts w:ascii="Cambria Math" w:eastAsiaTheme="minorHAnsi" w:hAnsi="Cambria Math"/>
                    <w:sz w:val="24"/>
                    <w:szCs w:val="24"/>
                    <w:lang w:eastAsia="en-US"/>
                  </w:rPr>
                </m:ctrlPr>
              </m:sSubPr>
              <m:e>
                <m:r>
                  <w:rPr>
                    <w:rFonts w:ascii="Cambria Math" w:eastAsiaTheme="minorHAnsi" w:hAnsi="Cambria Math"/>
                    <w:sz w:val="24"/>
                    <w:szCs w:val="24"/>
                    <w:lang w:eastAsia="en-US"/>
                  </w:rPr>
                  <m:t>Y</m:t>
                </m:r>
              </m:e>
              <m:sub>
                <m:r>
                  <m:rPr>
                    <m:sty m:val="p"/>
                  </m:rPr>
                  <w:rPr>
                    <w:rFonts w:ascii="Cambria Math" w:eastAsiaTheme="minorHAnsi" w:hAnsi="Times New Roman"/>
                    <w:sz w:val="24"/>
                    <w:szCs w:val="24"/>
                    <w:lang w:eastAsia="en-US"/>
                  </w:rPr>
                  <m:t xml:space="preserve">RUCBICPL2 </m:t>
                </m:r>
              </m:sub>
            </m:sSub>
            <m:r>
              <m:rPr>
                <m:sty m:val="p"/>
              </m:rPr>
              <w:rPr>
                <w:rFonts w:ascii="Cambria Math" w:eastAsiaTheme="minorHAnsi" w:hAnsi="Cambria Math"/>
                <w:sz w:val="24"/>
                <w:szCs w:val="24"/>
                <w:lang w:eastAsia="en-US"/>
              </w:rPr>
              <m:t>-</m:t>
            </m:r>
            <m:sSub>
              <m:sSubPr>
                <m:ctrlPr>
                  <w:rPr>
                    <w:rFonts w:ascii="Cambria Math" w:eastAsiaTheme="minorHAnsi" w:hAnsi="Cambria Math"/>
                    <w:sz w:val="24"/>
                    <w:szCs w:val="24"/>
                    <w:lang w:eastAsia="en-US"/>
                  </w:rPr>
                </m:ctrlPr>
              </m:sSubPr>
              <m:e>
                <m:r>
                  <w:rPr>
                    <w:rFonts w:ascii="Cambria Math" w:eastAsiaTheme="minorHAnsi" w:hAnsi="Cambria Math"/>
                    <w:sz w:val="24"/>
                    <w:szCs w:val="24"/>
                    <w:lang w:eastAsia="en-US"/>
                  </w:rPr>
                  <m:t>Y</m:t>
                </m:r>
              </m:e>
              <m:sub>
                <m:r>
                  <m:rPr>
                    <m:sty m:val="p"/>
                  </m:rPr>
                  <w:rPr>
                    <w:rFonts w:ascii="Cambria Math" w:eastAsiaTheme="minorHAnsi" w:hAnsi="Times New Roman"/>
                    <w:sz w:val="24"/>
                    <w:szCs w:val="24"/>
                    <w:lang w:eastAsia="en-US"/>
                  </w:rPr>
                  <m:t>RUGBICP3Y</m:t>
                </m:r>
              </m:sub>
            </m:sSub>
          </m:e>
        </m:d>
        <m:r>
          <m:rPr>
            <m:sty m:val="p"/>
          </m:rPr>
          <w:rPr>
            <w:rFonts w:ascii="Cambria Math" w:eastAsiaTheme="minorHAnsi" w:hAnsi="Cambria Math"/>
            <w:sz w:val="24"/>
            <w:szCs w:val="24"/>
            <w:lang w:eastAsia="en-US"/>
          </w:rPr>
          <m:t>*</m:t>
        </m:r>
        <m:r>
          <m:rPr>
            <m:sty m:val="p"/>
          </m:rPr>
          <w:rPr>
            <w:rFonts w:ascii="Cambria Math" w:eastAsiaTheme="minorHAnsi" w:hAnsi="Times New Roman"/>
            <w:sz w:val="24"/>
            <w:szCs w:val="24"/>
            <w:lang w:eastAsia="en-US"/>
          </w:rPr>
          <m:t>100</m:t>
        </m:r>
      </m:oMath>
      <w:r w:rsidR="000C1E0E">
        <w:rPr>
          <w:rFonts w:ascii="Times New Roman" w:eastAsiaTheme="minorHAnsi" w:hAnsi="Times New Roman"/>
          <w:sz w:val="24"/>
          <w:szCs w:val="24"/>
          <w:lang w:eastAsia="en-US"/>
        </w:rPr>
        <w:t>, (Формула 2)</w:t>
      </w:r>
    </w:p>
    <w:p w14:paraId="1326BBC9" w14:textId="77777777" w:rsidR="000C1E0E" w:rsidRDefault="000C1E0E" w:rsidP="000C1E0E">
      <w:pPr>
        <w:spacing w:after="120" w:line="360" w:lineRule="auto"/>
        <w:ind w:firstLine="426"/>
        <w:rPr>
          <w:rFonts w:ascii="Times New Roman" w:eastAsiaTheme="minorHAnsi" w:hAnsi="Times New Roman"/>
          <w:sz w:val="24"/>
          <w:szCs w:val="24"/>
          <w:lang w:eastAsia="en-US"/>
        </w:rPr>
      </w:pPr>
      <m:oMath>
        <m:r>
          <w:rPr>
            <w:rFonts w:ascii="Cambria Math" w:eastAsiaTheme="minorHAnsi" w:hAnsi="Cambria Math"/>
            <w:sz w:val="24"/>
            <w:szCs w:val="24"/>
            <w:lang w:eastAsia="en-US"/>
          </w:rPr>
          <m:t>Y</m:t>
        </m:r>
      </m:oMath>
      <w:r>
        <w:rPr>
          <w:rFonts w:ascii="Times New Roman" w:eastAsiaTheme="minorHAnsi" w:hAnsi="Times New Roman"/>
          <w:sz w:val="24"/>
          <w:szCs w:val="24"/>
          <w:lang w:eastAsia="en-US"/>
        </w:rPr>
        <w:t xml:space="preserve"> – значение доходности соответствующего индекса, раскрытого ПАО «Московская биржа».</w:t>
      </w:r>
    </w:p>
    <w:p w14:paraId="4FFEBF66" w14:textId="77777777" w:rsidR="000C1E0E" w:rsidRDefault="000C1E0E" w:rsidP="000C1E0E">
      <w:pPr>
        <w:spacing w:after="120" w:line="360" w:lineRule="auto"/>
        <w:ind w:firstLine="426"/>
        <w:rPr>
          <w:rFonts w:ascii="Times New Roman" w:eastAsiaTheme="minorHAnsi" w:hAnsi="Times New Roman"/>
          <w:sz w:val="24"/>
          <w:szCs w:val="24"/>
          <w:lang w:eastAsia="en-US"/>
        </w:rPr>
      </w:pPr>
      <w:r>
        <w:rPr>
          <w:rFonts w:ascii="Times New Roman" w:eastAsiaTheme="minorHAnsi" w:hAnsi="Times New Roman"/>
          <w:sz w:val="24"/>
          <w:szCs w:val="24"/>
          <w:lang w:eastAsia="en-US"/>
        </w:rPr>
        <w:t>Формула 1 используется для долговых ценных бумаг входящих в котировальный уровень 3 ПАО «Московская биржа». Формула 2 используется для долговых ценных бумаг входящих в котировальный уровень 2 ПАО «Московская биржа».</w:t>
      </w:r>
    </w:p>
    <w:p w14:paraId="7B017A6D" w14:textId="77777777" w:rsidR="000C1E0E" w:rsidRDefault="000C1E0E" w:rsidP="000C1E0E">
      <w:pPr>
        <w:spacing w:after="120" w:line="360" w:lineRule="auto"/>
        <w:ind w:firstLine="426"/>
        <w:rPr>
          <w:rFonts w:ascii="Times New Roman" w:eastAsiaTheme="minorHAnsi" w:hAnsi="Times New Roman"/>
          <w:sz w:val="24"/>
          <w:szCs w:val="24"/>
          <w:lang w:eastAsia="en-US"/>
        </w:rPr>
      </w:pPr>
      <w:r>
        <w:rPr>
          <w:rFonts w:ascii="Times New Roman" w:eastAsiaTheme="minorHAnsi" w:hAnsi="Times New Roman"/>
          <w:sz w:val="24"/>
          <w:szCs w:val="24"/>
          <w:lang w:eastAsia="en-US"/>
        </w:rPr>
        <w:t>Рассчитывается медианное значение кредитного спреда </w:t>
      </w:r>
      <m:oMath>
        <m:sSub>
          <m:sSubPr>
            <m:ctrlPr>
              <w:rPr>
                <w:rFonts w:ascii="Cambria Math" w:eastAsiaTheme="minorHAnsi" w:hAnsi="Cambria Math"/>
                <w:sz w:val="24"/>
                <w:szCs w:val="24"/>
                <w:lang w:eastAsia="en-US"/>
              </w:rPr>
            </m:ctrlPr>
          </m:sSubPr>
          <m:e>
            <m:r>
              <w:rPr>
                <w:rFonts w:ascii="Cambria Math" w:eastAsiaTheme="minorHAnsi" w:hAnsi="Cambria Math"/>
                <w:sz w:val="24"/>
                <w:szCs w:val="24"/>
                <w:lang w:eastAsia="en-US"/>
              </w:rPr>
              <m:t>S</m:t>
            </m:r>
          </m:e>
          <m:sub>
            <m:r>
              <m:rPr>
                <m:sty m:val="p"/>
              </m:rPr>
              <w:rPr>
                <w:rFonts w:ascii="Cambria Math" w:eastAsiaTheme="minorHAnsi" w:hAnsi="Times New Roman"/>
                <w:sz w:val="24"/>
                <w:szCs w:val="24"/>
                <w:lang w:eastAsia="en-US"/>
              </w:rPr>
              <m:t>РГ</m:t>
            </m:r>
            <m:r>
              <w:rPr>
                <w:rFonts w:ascii="Cambria Math" w:eastAsiaTheme="minorHAnsi" w:hAnsi="Cambria Math"/>
                <w:sz w:val="24"/>
                <w:szCs w:val="24"/>
                <w:lang w:eastAsia="en-US"/>
              </w:rPr>
              <m:t>IV</m:t>
            </m:r>
          </m:sub>
        </m:sSub>
      </m:oMath>
      <w:r>
        <w:rPr>
          <w:rFonts w:ascii="Times New Roman" w:eastAsiaTheme="minorHAnsi" w:hAnsi="Times New Roman"/>
          <w:sz w:val="24"/>
          <w:szCs w:val="24"/>
          <w:lang w:eastAsia="en-US"/>
        </w:rPr>
        <w:t xml:space="preserve"> за последние 20 торговых дней (медиана из полученного ряда </w:t>
      </w:r>
      <m:oMath>
        <m:sSub>
          <m:sSubPr>
            <m:ctrlPr>
              <w:rPr>
                <w:rFonts w:ascii="Cambria Math" w:eastAsiaTheme="minorHAnsi" w:hAnsi="Cambria Math"/>
                <w:sz w:val="24"/>
                <w:szCs w:val="24"/>
                <w:lang w:eastAsia="en-US"/>
              </w:rPr>
            </m:ctrlPr>
          </m:sSubPr>
          <m:e>
            <m:r>
              <w:rPr>
                <w:rFonts w:ascii="Cambria Math" w:eastAsiaTheme="minorHAnsi" w:hAnsi="Cambria Math"/>
                <w:sz w:val="24"/>
                <w:szCs w:val="24"/>
                <w:lang w:eastAsia="en-US"/>
              </w:rPr>
              <m:t>S</m:t>
            </m:r>
          </m:e>
          <m:sub>
            <m:r>
              <m:rPr>
                <m:sty m:val="p"/>
              </m:rPr>
              <w:rPr>
                <w:rFonts w:ascii="Cambria Math" w:eastAsiaTheme="minorHAnsi" w:hAnsi="Times New Roman"/>
                <w:sz w:val="24"/>
                <w:szCs w:val="24"/>
                <w:lang w:eastAsia="en-US"/>
              </w:rPr>
              <m:t>РГ</m:t>
            </m:r>
            <m:r>
              <w:rPr>
                <w:rFonts w:ascii="Cambria Math" w:eastAsiaTheme="minorHAnsi" w:hAnsi="Cambria Math"/>
                <w:sz w:val="24"/>
                <w:szCs w:val="24"/>
                <w:lang w:eastAsia="en-US"/>
              </w:rPr>
              <m:t>IV</m:t>
            </m:r>
          </m:sub>
        </m:sSub>
      </m:oMath>
      <w:r>
        <w:rPr>
          <w:rFonts w:ascii="Times New Roman" w:eastAsiaTheme="minorHAnsi" w:hAnsi="Times New Roman"/>
          <w:sz w:val="24"/>
          <w:szCs w:val="24"/>
          <w:lang w:eastAsia="en-US"/>
        </w:rPr>
        <w:t xml:space="preserve">). При расчете значения медианного кредитного спреда промежуточные округления значений </w:t>
      </w:r>
      <m:oMath>
        <m:sSub>
          <m:sSubPr>
            <m:ctrlPr>
              <w:rPr>
                <w:rFonts w:ascii="Cambria Math" w:eastAsiaTheme="minorHAnsi" w:hAnsi="Cambria Math"/>
                <w:sz w:val="24"/>
                <w:szCs w:val="24"/>
                <w:lang w:eastAsia="en-US"/>
              </w:rPr>
            </m:ctrlPr>
          </m:sSubPr>
          <m:e>
            <m:r>
              <w:rPr>
                <w:rFonts w:ascii="Cambria Math" w:eastAsiaTheme="minorHAnsi" w:hAnsi="Cambria Math"/>
                <w:sz w:val="24"/>
                <w:szCs w:val="24"/>
                <w:lang w:eastAsia="en-US"/>
              </w:rPr>
              <m:t>S</m:t>
            </m:r>
          </m:e>
          <m:sub>
            <m:r>
              <m:rPr>
                <m:sty m:val="p"/>
              </m:rPr>
              <w:rPr>
                <w:rFonts w:ascii="Cambria Math" w:eastAsiaTheme="minorHAnsi" w:hAnsi="Times New Roman"/>
                <w:sz w:val="24"/>
                <w:szCs w:val="24"/>
                <w:lang w:eastAsia="en-US"/>
              </w:rPr>
              <m:t>РГ</m:t>
            </m:r>
            <m:r>
              <w:rPr>
                <w:rFonts w:ascii="Cambria Math" w:eastAsiaTheme="minorHAnsi" w:hAnsi="Cambria Math"/>
                <w:sz w:val="24"/>
                <w:szCs w:val="24"/>
                <w:lang w:eastAsia="en-US"/>
              </w:rPr>
              <m:t>IV</m:t>
            </m:r>
          </m:sub>
        </m:sSub>
      </m:oMath>
      <w:r>
        <w:rPr>
          <w:rFonts w:ascii="Times New Roman" w:eastAsiaTheme="minorHAnsi" w:hAnsi="Times New Roman"/>
          <w:sz w:val="24"/>
          <w:szCs w:val="24"/>
          <w:lang w:eastAsia="en-US"/>
        </w:rPr>
        <w:t xml:space="preserve"> не производятся, результат расчета округляется по правилам математического округления с точностью до 2 знаков после запятой.</w:t>
      </w:r>
    </w:p>
    <w:p w14:paraId="02C2A7A7" w14:textId="77777777" w:rsidR="000C1E0E" w:rsidRDefault="000C1E0E" w:rsidP="000C1E0E">
      <w:pPr>
        <w:spacing w:line="360" w:lineRule="auto"/>
        <w:jc w:val="left"/>
        <w:rPr>
          <w:rFonts w:ascii="Times New Roman" w:eastAsiaTheme="minorHAnsi" w:hAnsi="Times New Roman"/>
          <w:b/>
          <w:sz w:val="24"/>
          <w:szCs w:val="24"/>
          <w:u w:val="single"/>
          <w:lang w:eastAsia="en-US"/>
        </w:rPr>
      </w:pPr>
    </w:p>
    <w:p w14:paraId="00A6757B" w14:textId="77777777" w:rsidR="000C1E0E" w:rsidRDefault="000C1E0E" w:rsidP="000C1E0E">
      <w:pPr>
        <w:spacing w:line="360" w:lineRule="auto"/>
        <w:jc w:val="left"/>
        <w:rPr>
          <w:rFonts w:ascii="Times New Roman" w:eastAsiaTheme="minorHAnsi" w:hAnsi="Times New Roman"/>
          <w:b/>
          <w:sz w:val="24"/>
          <w:szCs w:val="24"/>
          <w:u w:val="single"/>
          <w:lang w:eastAsia="en-US"/>
        </w:rPr>
      </w:pPr>
      <w:r>
        <w:rPr>
          <w:rFonts w:ascii="Times New Roman" w:eastAsiaTheme="minorHAnsi" w:hAnsi="Times New Roman"/>
          <w:b/>
          <w:sz w:val="24"/>
          <w:szCs w:val="24"/>
          <w:u w:val="single"/>
          <w:lang w:eastAsia="en-US"/>
        </w:rPr>
        <w:t>Еврооблигации</w:t>
      </w:r>
    </w:p>
    <w:p w14:paraId="0CF5B1ED" w14:textId="77777777" w:rsidR="000C1E0E" w:rsidRDefault="000C1E0E" w:rsidP="000C1E0E">
      <w:pPr>
        <w:spacing w:line="360" w:lineRule="auto"/>
        <w:ind w:firstLine="426"/>
        <w:jc w:val="left"/>
        <w:rPr>
          <w:rFonts w:ascii="Times New Roman" w:eastAsiaTheme="minorHAnsi" w:hAnsi="Times New Roman"/>
          <w:sz w:val="24"/>
          <w:szCs w:val="24"/>
          <w:lang w:eastAsia="en-US"/>
        </w:rPr>
      </w:pPr>
      <w:r>
        <w:rPr>
          <w:rFonts w:ascii="Times New Roman" w:eastAsiaTheme="minorHAnsi" w:hAnsi="Times New Roman"/>
          <w:b/>
          <w:sz w:val="24"/>
          <w:szCs w:val="24"/>
          <w:lang w:eastAsia="en-US"/>
        </w:rPr>
        <w:t>Уровень 3.</w:t>
      </w:r>
      <w:r>
        <w:rPr>
          <w:rFonts w:ascii="Times New Roman" w:eastAsiaTheme="minorHAnsi" w:hAnsi="Times New Roman"/>
          <w:sz w:val="24"/>
          <w:szCs w:val="24"/>
          <w:lang w:eastAsia="en-US"/>
        </w:rPr>
        <w:t xml:space="preserve"> </w:t>
      </w:r>
    </w:p>
    <w:p w14:paraId="48B78B16" w14:textId="77777777" w:rsidR="000C1E0E" w:rsidRDefault="000C1E0E" w:rsidP="000C1E0E">
      <w:pPr>
        <w:spacing w:line="360" w:lineRule="auto"/>
        <w:ind w:firstLine="426"/>
        <w:rPr>
          <w:rFonts w:ascii="Times New Roman" w:eastAsiaTheme="minorHAnsi" w:hAnsi="Times New Roman"/>
          <w:sz w:val="24"/>
          <w:szCs w:val="24"/>
          <w:lang w:eastAsia="en-US"/>
        </w:rPr>
      </w:pPr>
      <w:r>
        <w:rPr>
          <w:rFonts w:ascii="Times New Roman" w:eastAsiaTheme="minorHAnsi" w:hAnsi="Times New Roman"/>
          <w:sz w:val="24"/>
          <w:szCs w:val="24"/>
          <w:lang w:eastAsia="en-US"/>
        </w:rPr>
        <w:t xml:space="preserve">Для еврооблигаций, номинированных в долларах США, и в отношении которых известен конечный заемщик (по данным системы </w:t>
      </w:r>
      <w:r>
        <w:rPr>
          <w:rFonts w:ascii="Times New Roman" w:eastAsiaTheme="minorHAnsi" w:hAnsi="Times New Roman"/>
          <w:sz w:val="24"/>
          <w:szCs w:val="24"/>
          <w:lang w:val="en-US" w:eastAsia="en-US"/>
        </w:rPr>
        <w:t>cbonds</w:t>
      </w:r>
      <w:r>
        <w:rPr>
          <w:rFonts w:ascii="Times New Roman" w:eastAsiaTheme="minorHAnsi" w:hAnsi="Times New Roman"/>
          <w:sz w:val="24"/>
          <w:szCs w:val="24"/>
          <w:lang w:eastAsia="en-US"/>
        </w:rPr>
        <w:t>.</w:t>
      </w:r>
      <w:r>
        <w:rPr>
          <w:rFonts w:ascii="Times New Roman" w:eastAsiaTheme="minorHAnsi" w:hAnsi="Times New Roman"/>
          <w:sz w:val="24"/>
          <w:szCs w:val="24"/>
          <w:lang w:val="en-US" w:eastAsia="en-US"/>
        </w:rPr>
        <w:t>ru</w:t>
      </w:r>
      <w:r>
        <w:rPr>
          <w:rFonts w:ascii="Times New Roman" w:eastAsiaTheme="minorHAnsi" w:hAnsi="Times New Roman"/>
          <w:sz w:val="24"/>
          <w:szCs w:val="24"/>
          <w:lang w:eastAsia="en-US"/>
        </w:rPr>
        <w:t>), при этом «страной риска» заемщика является Россия, справедливая стоимость определяется согласно модели оценки справедливой стоимости рублевых облигаций на уровне 3 со следующими изменениями при расчете медианного кредитного спреда:</w:t>
      </w:r>
    </w:p>
    <w:p w14:paraId="445FA856" w14:textId="77777777" w:rsidR="000C1E0E" w:rsidRDefault="000C1E0E" w:rsidP="000C1E0E">
      <w:pPr>
        <w:spacing w:line="360" w:lineRule="auto"/>
        <w:ind w:firstLine="426"/>
        <w:rPr>
          <w:rFonts w:ascii="Times New Roman" w:eastAsiaTheme="minorHAnsi" w:hAnsi="Times New Roman"/>
          <w:sz w:val="24"/>
          <w:szCs w:val="24"/>
          <w:lang w:eastAsia="en-US"/>
        </w:rPr>
      </w:pPr>
      <w:r>
        <w:rPr>
          <w:rFonts w:ascii="Times New Roman" w:eastAsiaTheme="minorHAnsi" w:hAnsi="Times New Roman"/>
          <w:sz w:val="24"/>
          <w:szCs w:val="24"/>
          <w:lang w:eastAsia="en-US"/>
        </w:rPr>
        <w:t>Если для оцениваемой долговой ценной бумаги основным рынком является биржевой рынок, то медианный кредитный спред (</w:t>
      </w:r>
      <m:oMath>
        <m:r>
          <w:rPr>
            <w:rFonts w:ascii="Cambria Math" w:eastAsiaTheme="minorHAnsi" w:hAnsi="Cambria Math"/>
            <w:sz w:val="24"/>
            <w:szCs w:val="24"/>
            <w:lang w:eastAsia="en-US"/>
          </w:rPr>
          <m:t>CrSpread</m:t>
        </m:r>
      </m:oMath>
      <w:r>
        <w:rPr>
          <w:rFonts w:ascii="Times New Roman" w:eastAsiaTheme="minorHAnsi" w:hAnsi="Times New Roman"/>
          <w:sz w:val="24"/>
          <w:szCs w:val="24"/>
          <w:lang w:eastAsia="en-US"/>
        </w:rPr>
        <w:t>) рассчитывается на основании выбранных управляющей компанией ДУ ПИФ аналогичных долговых ценных бумаг, для которых на дату расчета СЧА (или в предыдущий торговый день, если дата определения СЧА является не торговым днем) рынок признается активным.</w:t>
      </w:r>
    </w:p>
    <w:p w14:paraId="24C9B307" w14:textId="77777777" w:rsidR="000C1E0E" w:rsidRDefault="000C1E0E" w:rsidP="000C1E0E">
      <w:pPr>
        <w:spacing w:line="360" w:lineRule="auto"/>
        <w:ind w:firstLine="426"/>
        <w:rPr>
          <w:rFonts w:ascii="Times New Roman" w:eastAsiaTheme="minorHAnsi" w:hAnsi="Times New Roman"/>
          <w:sz w:val="24"/>
          <w:szCs w:val="24"/>
          <w:lang w:eastAsia="en-US"/>
        </w:rPr>
      </w:pPr>
      <w:r>
        <w:rPr>
          <w:rFonts w:ascii="Times New Roman" w:eastAsiaTheme="minorHAnsi" w:hAnsi="Times New Roman"/>
          <w:sz w:val="24"/>
          <w:szCs w:val="24"/>
          <w:lang w:eastAsia="en-US"/>
        </w:rPr>
        <w:t>Если для оцениваемой долговой ценной бумаги основным рынком является внебиржевой рынок, то медианный кредитный спред (</w:t>
      </w:r>
      <m:oMath>
        <m:r>
          <w:rPr>
            <w:rFonts w:ascii="Cambria Math" w:eastAsiaTheme="minorHAnsi" w:hAnsi="Cambria Math"/>
            <w:sz w:val="24"/>
            <w:szCs w:val="24"/>
            <w:lang w:eastAsia="en-US"/>
          </w:rPr>
          <m:t>CrSpread</m:t>
        </m:r>
      </m:oMath>
      <w:r>
        <w:rPr>
          <w:rFonts w:ascii="Times New Roman" w:eastAsiaTheme="minorHAnsi" w:hAnsi="Times New Roman"/>
          <w:sz w:val="24"/>
          <w:szCs w:val="24"/>
          <w:lang w:eastAsia="en-US"/>
        </w:rPr>
        <w:t xml:space="preserve">) рассчитывается на основании выбранных управляющей компанией ДУ ПИФ аналогичных долговых ценных бумаг, для которых на дату расчета СЧА (или в предыдущий торговый день, если дата определения СЧА является не торговым днем) есть цены BGN, BVAL (Score равен или выше 6) или НКО АО НРД, </w:t>
      </w:r>
      <w:r>
        <w:rPr>
          <w:rFonts w:ascii="Times New Roman" w:eastAsiaTheme="minorHAnsi" w:hAnsi="Times New Roman"/>
          <w:sz w:val="24"/>
          <w:szCs w:val="24"/>
          <w:lang w:val="en-US" w:eastAsia="en-US"/>
        </w:rPr>
        <w:t>Thompson</w:t>
      </w:r>
      <w:r w:rsidRPr="00811E19">
        <w:rPr>
          <w:rFonts w:ascii="Times New Roman" w:eastAsiaTheme="minorHAnsi" w:hAnsi="Times New Roman"/>
          <w:sz w:val="24"/>
          <w:szCs w:val="24"/>
          <w:lang w:eastAsia="en-US"/>
        </w:rPr>
        <w:t xml:space="preserve"> </w:t>
      </w:r>
      <w:r>
        <w:rPr>
          <w:rFonts w:ascii="Times New Roman" w:eastAsiaTheme="minorHAnsi" w:hAnsi="Times New Roman"/>
          <w:sz w:val="24"/>
          <w:szCs w:val="24"/>
          <w:lang w:val="en-US" w:eastAsia="en-US"/>
        </w:rPr>
        <w:t>Reuters</w:t>
      </w:r>
      <w:r>
        <w:rPr>
          <w:rFonts w:ascii="Times New Roman" w:eastAsiaTheme="minorHAnsi" w:hAnsi="Times New Roman"/>
          <w:sz w:val="24"/>
          <w:szCs w:val="24"/>
          <w:lang w:eastAsia="en-US"/>
        </w:rPr>
        <w:t>.</w:t>
      </w:r>
    </w:p>
    <w:p w14:paraId="68E5C777" w14:textId="77777777" w:rsidR="000C1E0E" w:rsidRDefault="000C1E0E" w:rsidP="000C1E0E">
      <w:pPr>
        <w:spacing w:line="360" w:lineRule="auto"/>
        <w:ind w:firstLine="426"/>
        <w:rPr>
          <w:rFonts w:ascii="Times New Roman" w:eastAsiaTheme="minorHAnsi" w:hAnsi="Times New Roman"/>
          <w:sz w:val="24"/>
          <w:szCs w:val="24"/>
          <w:lang w:eastAsia="en-US"/>
        </w:rPr>
      </w:pPr>
      <w:r>
        <w:rPr>
          <w:rFonts w:ascii="Times New Roman" w:eastAsiaTheme="minorHAnsi" w:hAnsi="Times New Roman"/>
          <w:sz w:val="24"/>
          <w:szCs w:val="24"/>
          <w:lang w:eastAsia="en-US"/>
        </w:rPr>
        <w:t>Долговая ценная бумага признается аналогом для целей оценки в случае, если одновременно соблюдаются следующие условия:</w:t>
      </w:r>
    </w:p>
    <w:p w14:paraId="52221BB6" w14:textId="77777777" w:rsidR="000C1E0E" w:rsidRDefault="000C1E0E" w:rsidP="000C1E0E">
      <w:pPr>
        <w:numPr>
          <w:ilvl w:val="0"/>
          <w:numId w:val="15"/>
        </w:numPr>
        <w:spacing w:after="200" w:line="360" w:lineRule="auto"/>
        <w:contextualSpacing/>
        <w:jc w:val="left"/>
        <w:rPr>
          <w:rFonts w:ascii="Times New Roman" w:eastAsia="Calibri" w:hAnsi="Times New Roman"/>
          <w:sz w:val="24"/>
          <w:szCs w:val="24"/>
          <w:lang w:eastAsia="en-US"/>
        </w:rPr>
      </w:pPr>
      <w:r>
        <w:rPr>
          <w:rFonts w:ascii="Times New Roman" w:eastAsia="Calibri" w:hAnsi="Times New Roman"/>
          <w:sz w:val="24"/>
          <w:szCs w:val="24"/>
          <w:lang w:eastAsia="en-US"/>
        </w:rPr>
        <w:t>валюта обращения аналога совпадает с валютой обращения оцениваемой долговой ценной бумаги;</w:t>
      </w:r>
    </w:p>
    <w:p w14:paraId="018DFC26" w14:textId="77777777" w:rsidR="000C1E0E" w:rsidRDefault="000C1E0E" w:rsidP="000C1E0E">
      <w:pPr>
        <w:numPr>
          <w:ilvl w:val="0"/>
          <w:numId w:val="15"/>
        </w:numPr>
        <w:spacing w:after="200" w:line="360" w:lineRule="auto"/>
        <w:contextualSpacing/>
        <w:jc w:val="left"/>
        <w:rPr>
          <w:rFonts w:ascii="Times New Roman" w:eastAsia="Calibri" w:hAnsi="Times New Roman"/>
          <w:sz w:val="24"/>
          <w:szCs w:val="24"/>
          <w:lang w:eastAsia="en-US"/>
        </w:rPr>
      </w:pPr>
      <w:r>
        <w:rPr>
          <w:rFonts w:ascii="Times New Roman" w:eastAsia="Calibri" w:hAnsi="Times New Roman"/>
          <w:sz w:val="24"/>
          <w:szCs w:val="24"/>
          <w:lang w:eastAsia="en-US"/>
        </w:rPr>
        <w:t>дюрация аналога отклоняется от значения дюрации оцениваемой долговой ценной бумаги на +/- 90 дней (В случае, если невозможно выбрать ни одного аналога, по которому дюрация удовлетворяет обозначенному условию, допускается выбор аналогов с произвольной дюрацией, при условии, что средневзвешенная дюрация множества долговых ценных бумаг, выбранных в качестве аналогов, удовлетворяет обозначенному условию)</w:t>
      </w:r>
    </w:p>
    <w:p w14:paraId="3F0EE7EA" w14:textId="77777777" w:rsidR="000C1E0E" w:rsidRDefault="000C1E0E" w:rsidP="000C1E0E">
      <w:pPr>
        <w:numPr>
          <w:ilvl w:val="0"/>
          <w:numId w:val="15"/>
        </w:numPr>
        <w:spacing w:after="200" w:line="360" w:lineRule="auto"/>
        <w:contextualSpacing/>
        <w:jc w:val="left"/>
        <w:rPr>
          <w:rFonts w:ascii="Times New Roman" w:eastAsia="Calibri" w:hAnsi="Times New Roman"/>
          <w:sz w:val="24"/>
          <w:szCs w:val="24"/>
          <w:lang w:eastAsia="en-US"/>
        </w:rPr>
      </w:pPr>
      <w:r>
        <w:rPr>
          <w:rFonts w:ascii="Times New Roman" w:eastAsia="Calibri" w:hAnsi="Times New Roman"/>
          <w:sz w:val="24"/>
          <w:szCs w:val="24"/>
          <w:lang w:eastAsia="en-US"/>
        </w:rPr>
        <w:t>аналог относится к той же рейтинговой группе что и оцениваемая долговая ценная бумага;</w:t>
      </w:r>
    </w:p>
    <w:p w14:paraId="39E3D8FF" w14:textId="77777777" w:rsidR="000C1E0E" w:rsidRDefault="000C1E0E" w:rsidP="000C1E0E">
      <w:pPr>
        <w:numPr>
          <w:ilvl w:val="0"/>
          <w:numId w:val="15"/>
        </w:numPr>
        <w:spacing w:after="200" w:line="360" w:lineRule="auto"/>
        <w:contextualSpacing/>
        <w:jc w:val="left"/>
        <w:rPr>
          <w:rFonts w:ascii="Times New Roman" w:eastAsia="Calibri" w:hAnsi="Times New Roman"/>
          <w:sz w:val="24"/>
          <w:szCs w:val="24"/>
          <w:lang w:eastAsia="en-US"/>
        </w:rPr>
      </w:pPr>
      <w:r>
        <w:rPr>
          <w:rFonts w:ascii="Times New Roman" w:eastAsia="Calibri" w:hAnsi="Times New Roman"/>
          <w:sz w:val="24"/>
          <w:szCs w:val="24"/>
          <w:lang w:eastAsia="en-US"/>
        </w:rPr>
        <w:t>аналог является другим выпуском того же эмитента, что и оцениваемая долговая ценная бумага, а в случае отсутствия - эмитент аналога относится к тому же агрегированному сектору экономики и страной риска эмитента/конечного заемщика (по данным системы cbonds.ru) является Россия.</w:t>
      </w:r>
    </w:p>
    <w:p w14:paraId="75087D89" w14:textId="0CF4F69F" w:rsidR="000C1E0E" w:rsidRDefault="000C1E0E" w:rsidP="007255FA">
      <w:pPr>
        <w:spacing w:after="200" w:line="360" w:lineRule="auto"/>
        <w:ind w:left="786"/>
        <w:contextualSpacing/>
        <w:rPr>
          <w:rFonts w:ascii="Times New Roman" w:eastAsia="Calibri" w:hAnsi="Times New Roman"/>
          <w:sz w:val="24"/>
          <w:szCs w:val="24"/>
          <w:lang w:eastAsia="en-US"/>
        </w:rPr>
      </w:pPr>
      <w:r>
        <w:rPr>
          <w:rFonts w:ascii="Times New Roman" w:eastAsia="Calibri" w:hAnsi="Times New Roman"/>
          <w:sz w:val="24"/>
          <w:szCs w:val="24"/>
          <w:lang w:eastAsia="en-US"/>
        </w:rPr>
        <w:t>Список долговых ценных бумаг, признанных аналогичными, Управляющая компания предоставляет в Сп</w:t>
      </w:r>
      <w:r w:rsidR="007255FA">
        <w:rPr>
          <w:rFonts w:ascii="Times New Roman" w:eastAsia="Calibri" w:hAnsi="Times New Roman"/>
          <w:sz w:val="24"/>
          <w:szCs w:val="24"/>
          <w:lang w:eastAsia="en-US"/>
        </w:rPr>
        <w:t>ециализированный депозитарий по</w:t>
      </w:r>
      <w:r>
        <w:rPr>
          <w:rFonts w:ascii="Times New Roman" w:eastAsia="Calibri" w:hAnsi="Times New Roman"/>
          <w:sz w:val="24"/>
          <w:szCs w:val="24"/>
          <w:lang w:eastAsia="en-US"/>
        </w:rPr>
        <w:t xml:space="preserve">средством ЭДО не позднее рабочего дня, на который определяется справедливая стоимость ценных бумаг. </w:t>
      </w:r>
    </w:p>
    <w:p w14:paraId="61C4D4DF" w14:textId="77777777" w:rsidR="000C1E0E" w:rsidRDefault="000C1E0E" w:rsidP="000C1E0E">
      <w:pPr>
        <w:spacing w:line="360" w:lineRule="auto"/>
        <w:ind w:firstLine="426"/>
        <w:rPr>
          <w:rFonts w:ascii="Times New Roman" w:eastAsiaTheme="minorHAnsi" w:hAnsi="Times New Roman"/>
          <w:sz w:val="24"/>
          <w:szCs w:val="24"/>
          <w:lang w:eastAsia="en-US"/>
        </w:rPr>
      </w:pPr>
      <w:r>
        <w:rPr>
          <w:rFonts w:ascii="Times New Roman" w:eastAsiaTheme="minorHAnsi" w:hAnsi="Times New Roman"/>
          <w:b/>
          <w:sz w:val="24"/>
          <w:szCs w:val="24"/>
          <w:lang w:eastAsia="en-US"/>
        </w:rPr>
        <w:t>Долговая ценная бумага может быть отнесена к одной из четырех рейтинговых групп</w:t>
      </w:r>
      <w:r>
        <w:rPr>
          <w:rFonts w:ascii="Times New Roman" w:eastAsiaTheme="minorHAnsi" w:hAnsi="Times New Roman"/>
          <w:sz w:val="24"/>
          <w:szCs w:val="24"/>
          <w:lang w:eastAsia="en-US"/>
        </w:rPr>
        <w:t xml:space="preserve"> в зависимости от кредитного рейтинга у выпуска долговой ценной бумаги (кредитный рейтинг в валюте номинала), а случае его отсутствия - рейтинга эмитента или поручителя (гаранта) долговой ценной бумаги. При наличии нескольких рейтингов, выбирается наибольший из имеющихся актуальных кредитных рейтингов. Если поручительство по выпуску долговой ценной бумаги обеспечивает исполнение обязательств в полном объёме и (или) гарантия выдана на сумму номинальной стоимости и процентов по таким долговым ценным бумагам, то выбирается наибольший из имеющихся актуальных кредитных рейтингов выпуска долговой ценной бумаги и поручителя (гаранта).</w:t>
      </w:r>
    </w:p>
    <w:tbl>
      <w:tblPr>
        <w:tblW w:w="7112" w:type="dxa"/>
        <w:jc w:val="center"/>
        <w:tblLook w:val="04A0" w:firstRow="1" w:lastRow="0" w:firstColumn="1" w:lastColumn="0" w:noHBand="0" w:noVBand="1"/>
      </w:tblPr>
      <w:tblGrid>
        <w:gridCol w:w="1986"/>
        <w:gridCol w:w="1986"/>
        <w:gridCol w:w="1986"/>
        <w:gridCol w:w="1611"/>
      </w:tblGrid>
      <w:tr w:rsidR="000C1E0E" w14:paraId="7617E59B" w14:textId="77777777" w:rsidTr="0098752B">
        <w:trPr>
          <w:trHeight w:val="180"/>
          <w:jc w:val="center"/>
        </w:trPr>
        <w:tc>
          <w:tcPr>
            <w:tcW w:w="1845" w:type="dxa"/>
            <w:tcBorders>
              <w:top w:val="single" w:sz="4" w:space="0" w:color="auto"/>
              <w:left w:val="single" w:sz="4" w:space="0" w:color="auto"/>
              <w:bottom w:val="single" w:sz="4" w:space="0" w:color="auto"/>
              <w:right w:val="single" w:sz="4" w:space="0" w:color="auto"/>
            </w:tcBorders>
            <w:noWrap/>
            <w:vAlign w:val="center"/>
            <w:hideMark/>
          </w:tcPr>
          <w:p w14:paraId="572762A0" w14:textId="77777777" w:rsidR="000C1E0E" w:rsidRDefault="000C1E0E" w:rsidP="0098752B">
            <w:pPr>
              <w:spacing w:after="200" w:line="360" w:lineRule="auto"/>
              <w:jc w:val="center"/>
              <w:rPr>
                <w:rFonts w:ascii="Times New Roman" w:eastAsiaTheme="minorHAnsi" w:hAnsi="Times New Roman"/>
                <w:b/>
                <w:bCs/>
                <w:sz w:val="24"/>
                <w:szCs w:val="24"/>
                <w:lang w:eastAsia="en-US"/>
              </w:rPr>
            </w:pPr>
            <w:r>
              <w:rPr>
                <w:rFonts w:ascii="Times New Roman" w:eastAsiaTheme="minorHAnsi" w:hAnsi="Times New Roman"/>
                <w:b/>
                <w:bCs/>
                <w:sz w:val="24"/>
                <w:szCs w:val="24"/>
                <w:lang w:eastAsia="en-US"/>
              </w:rPr>
              <w:t>Moody`s</w:t>
            </w:r>
          </w:p>
        </w:tc>
        <w:tc>
          <w:tcPr>
            <w:tcW w:w="1845" w:type="dxa"/>
            <w:tcBorders>
              <w:top w:val="single" w:sz="8" w:space="0" w:color="auto"/>
              <w:left w:val="single" w:sz="4" w:space="0" w:color="auto"/>
              <w:bottom w:val="single" w:sz="4" w:space="0" w:color="auto"/>
              <w:right w:val="nil"/>
            </w:tcBorders>
            <w:vAlign w:val="center"/>
            <w:hideMark/>
          </w:tcPr>
          <w:p w14:paraId="1CFF7862" w14:textId="77777777" w:rsidR="000C1E0E" w:rsidRDefault="000C1E0E" w:rsidP="0098752B">
            <w:pPr>
              <w:spacing w:after="200" w:line="360" w:lineRule="auto"/>
              <w:jc w:val="center"/>
              <w:rPr>
                <w:rFonts w:ascii="Times New Roman" w:eastAsiaTheme="minorHAnsi" w:hAnsi="Times New Roman"/>
                <w:b/>
                <w:bCs/>
                <w:sz w:val="24"/>
                <w:szCs w:val="24"/>
                <w:lang w:eastAsia="en-US"/>
              </w:rPr>
            </w:pPr>
            <w:r>
              <w:rPr>
                <w:rFonts w:ascii="Times New Roman" w:eastAsiaTheme="minorHAnsi" w:hAnsi="Times New Roman"/>
                <w:b/>
                <w:bCs/>
                <w:sz w:val="24"/>
                <w:szCs w:val="24"/>
                <w:lang w:eastAsia="en-US"/>
              </w:rPr>
              <w:t>S&amp;P</w:t>
            </w:r>
          </w:p>
        </w:tc>
        <w:tc>
          <w:tcPr>
            <w:tcW w:w="1845" w:type="dxa"/>
            <w:tcBorders>
              <w:top w:val="single" w:sz="8" w:space="0" w:color="auto"/>
              <w:left w:val="single" w:sz="8" w:space="0" w:color="auto"/>
              <w:bottom w:val="single" w:sz="4" w:space="0" w:color="auto"/>
              <w:right w:val="single" w:sz="8" w:space="0" w:color="auto"/>
            </w:tcBorders>
            <w:noWrap/>
            <w:vAlign w:val="center"/>
            <w:hideMark/>
          </w:tcPr>
          <w:p w14:paraId="0FB9FC6E" w14:textId="77777777" w:rsidR="000C1E0E" w:rsidRDefault="000C1E0E" w:rsidP="0098752B">
            <w:pPr>
              <w:spacing w:after="200" w:line="360" w:lineRule="auto"/>
              <w:jc w:val="center"/>
              <w:rPr>
                <w:rFonts w:ascii="Times New Roman" w:eastAsiaTheme="minorHAnsi" w:hAnsi="Times New Roman"/>
                <w:b/>
                <w:bCs/>
                <w:sz w:val="24"/>
                <w:szCs w:val="24"/>
                <w:lang w:eastAsia="en-US"/>
              </w:rPr>
            </w:pPr>
            <w:r>
              <w:rPr>
                <w:rFonts w:ascii="Times New Roman" w:eastAsiaTheme="minorHAnsi" w:hAnsi="Times New Roman"/>
                <w:b/>
                <w:bCs/>
                <w:sz w:val="24"/>
                <w:szCs w:val="24"/>
                <w:lang w:eastAsia="en-US"/>
              </w:rPr>
              <w:t>Fitch</w:t>
            </w:r>
          </w:p>
        </w:tc>
        <w:tc>
          <w:tcPr>
            <w:tcW w:w="1577" w:type="dxa"/>
            <w:vMerge w:val="restart"/>
            <w:tcBorders>
              <w:top w:val="single" w:sz="8" w:space="0" w:color="auto"/>
              <w:left w:val="single" w:sz="8" w:space="0" w:color="auto"/>
              <w:bottom w:val="single" w:sz="4" w:space="0" w:color="auto"/>
              <w:right w:val="single" w:sz="8" w:space="0" w:color="auto"/>
            </w:tcBorders>
            <w:noWrap/>
            <w:vAlign w:val="center"/>
            <w:hideMark/>
          </w:tcPr>
          <w:p w14:paraId="6D15BD9B" w14:textId="77777777" w:rsidR="000C1E0E" w:rsidRDefault="000C1E0E" w:rsidP="0098752B">
            <w:pPr>
              <w:spacing w:after="200" w:line="360" w:lineRule="auto"/>
              <w:jc w:val="center"/>
              <w:rPr>
                <w:rFonts w:ascii="Times New Roman" w:eastAsiaTheme="minorHAnsi" w:hAnsi="Times New Roman"/>
                <w:b/>
                <w:bCs/>
                <w:sz w:val="24"/>
                <w:szCs w:val="24"/>
                <w:lang w:eastAsia="en-US"/>
              </w:rPr>
            </w:pPr>
            <w:r>
              <w:rPr>
                <w:rFonts w:ascii="Times New Roman" w:eastAsiaTheme="minorHAnsi" w:hAnsi="Times New Roman"/>
                <w:b/>
                <w:bCs/>
                <w:sz w:val="24"/>
                <w:szCs w:val="24"/>
                <w:lang w:eastAsia="en-US"/>
              </w:rPr>
              <w:t>Рейтинговая группа</w:t>
            </w:r>
          </w:p>
        </w:tc>
      </w:tr>
      <w:tr w:rsidR="000C1E0E" w14:paraId="17B4423D" w14:textId="77777777" w:rsidTr="0098752B">
        <w:trPr>
          <w:trHeight w:val="613"/>
          <w:jc w:val="center"/>
        </w:trPr>
        <w:tc>
          <w:tcPr>
            <w:tcW w:w="1845" w:type="dxa"/>
            <w:tcBorders>
              <w:top w:val="single" w:sz="4" w:space="0" w:color="auto"/>
              <w:left w:val="single" w:sz="4" w:space="0" w:color="auto"/>
              <w:bottom w:val="single" w:sz="4" w:space="0" w:color="auto"/>
              <w:right w:val="single" w:sz="4" w:space="0" w:color="auto"/>
            </w:tcBorders>
            <w:vAlign w:val="center"/>
            <w:hideMark/>
          </w:tcPr>
          <w:p w14:paraId="0DD066B8" w14:textId="77777777" w:rsidR="000C1E0E" w:rsidRDefault="000C1E0E" w:rsidP="0098752B">
            <w:pPr>
              <w:spacing w:after="200" w:line="360" w:lineRule="auto"/>
              <w:jc w:val="center"/>
              <w:rPr>
                <w:rFonts w:ascii="Times New Roman" w:eastAsiaTheme="minorHAnsi" w:hAnsi="Times New Roman"/>
                <w:b/>
                <w:bCs/>
                <w:sz w:val="24"/>
                <w:szCs w:val="24"/>
                <w:lang w:eastAsia="en-US"/>
              </w:rPr>
            </w:pPr>
            <w:r>
              <w:rPr>
                <w:rFonts w:ascii="Times New Roman" w:eastAsiaTheme="minorHAnsi" w:hAnsi="Times New Roman"/>
                <w:b/>
                <w:bCs/>
                <w:sz w:val="24"/>
                <w:szCs w:val="24"/>
                <w:lang w:eastAsia="en-US"/>
              </w:rPr>
              <w:t>Международная шкала</w:t>
            </w:r>
          </w:p>
        </w:tc>
        <w:tc>
          <w:tcPr>
            <w:tcW w:w="1845" w:type="dxa"/>
            <w:tcBorders>
              <w:top w:val="single" w:sz="4" w:space="0" w:color="auto"/>
              <w:left w:val="single" w:sz="4" w:space="0" w:color="auto"/>
              <w:bottom w:val="single" w:sz="4" w:space="0" w:color="auto"/>
              <w:right w:val="single" w:sz="4" w:space="0" w:color="auto"/>
            </w:tcBorders>
            <w:vAlign w:val="center"/>
            <w:hideMark/>
          </w:tcPr>
          <w:p w14:paraId="0F015A9E" w14:textId="77777777" w:rsidR="000C1E0E" w:rsidRDefault="000C1E0E" w:rsidP="0098752B">
            <w:pPr>
              <w:spacing w:after="200" w:line="360" w:lineRule="auto"/>
              <w:jc w:val="center"/>
              <w:rPr>
                <w:rFonts w:ascii="Times New Roman" w:eastAsiaTheme="minorHAnsi" w:hAnsi="Times New Roman"/>
                <w:b/>
                <w:bCs/>
                <w:sz w:val="24"/>
                <w:szCs w:val="24"/>
                <w:lang w:eastAsia="en-US"/>
              </w:rPr>
            </w:pPr>
            <w:r>
              <w:rPr>
                <w:rFonts w:ascii="Times New Roman" w:eastAsiaTheme="minorHAnsi" w:hAnsi="Times New Roman"/>
                <w:b/>
                <w:bCs/>
                <w:sz w:val="24"/>
                <w:szCs w:val="24"/>
                <w:lang w:eastAsia="en-US"/>
              </w:rPr>
              <w:t>Международная шкала</w:t>
            </w:r>
          </w:p>
        </w:tc>
        <w:tc>
          <w:tcPr>
            <w:tcW w:w="1845" w:type="dxa"/>
            <w:tcBorders>
              <w:top w:val="single" w:sz="4" w:space="0" w:color="auto"/>
              <w:left w:val="single" w:sz="4" w:space="0" w:color="auto"/>
              <w:bottom w:val="single" w:sz="4" w:space="0" w:color="auto"/>
              <w:right w:val="single" w:sz="4" w:space="0" w:color="auto"/>
            </w:tcBorders>
            <w:vAlign w:val="center"/>
            <w:hideMark/>
          </w:tcPr>
          <w:p w14:paraId="41FE1499" w14:textId="77777777" w:rsidR="000C1E0E" w:rsidRDefault="000C1E0E" w:rsidP="0098752B">
            <w:pPr>
              <w:spacing w:after="200" w:line="360" w:lineRule="auto"/>
              <w:jc w:val="center"/>
              <w:rPr>
                <w:rFonts w:ascii="Times New Roman" w:eastAsiaTheme="minorHAnsi" w:hAnsi="Times New Roman"/>
                <w:b/>
                <w:bCs/>
                <w:sz w:val="24"/>
                <w:szCs w:val="24"/>
                <w:lang w:eastAsia="en-US"/>
              </w:rPr>
            </w:pPr>
            <w:r>
              <w:rPr>
                <w:rFonts w:ascii="Times New Roman" w:eastAsiaTheme="minorHAnsi" w:hAnsi="Times New Roman"/>
                <w:b/>
                <w:bCs/>
                <w:sz w:val="24"/>
                <w:szCs w:val="24"/>
                <w:lang w:eastAsia="en-US"/>
              </w:rPr>
              <w:t>Международная шкала</w:t>
            </w:r>
          </w:p>
        </w:tc>
        <w:tc>
          <w:tcPr>
            <w:tcW w:w="0" w:type="auto"/>
            <w:vMerge/>
            <w:tcBorders>
              <w:top w:val="single" w:sz="8" w:space="0" w:color="auto"/>
              <w:left w:val="single" w:sz="8" w:space="0" w:color="auto"/>
              <w:bottom w:val="single" w:sz="4" w:space="0" w:color="auto"/>
              <w:right w:val="single" w:sz="8" w:space="0" w:color="auto"/>
            </w:tcBorders>
            <w:vAlign w:val="center"/>
            <w:hideMark/>
          </w:tcPr>
          <w:p w14:paraId="4B690A12" w14:textId="77777777" w:rsidR="000C1E0E" w:rsidRDefault="000C1E0E" w:rsidP="0098752B">
            <w:pPr>
              <w:spacing w:line="240" w:lineRule="auto"/>
              <w:jc w:val="left"/>
              <w:rPr>
                <w:rFonts w:ascii="Times New Roman" w:eastAsiaTheme="minorHAnsi" w:hAnsi="Times New Roman"/>
                <w:b/>
                <w:bCs/>
                <w:sz w:val="24"/>
                <w:szCs w:val="24"/>
                <w:lang w:eastAsia="en-US"/>
              </w:rPr>
            </w:pPr>
          </w:p>
        </w:tc>
      </w:tr>
      <w:tr w:rsidR="000C1E0E" w14:paraId="3A036303" w14:textId="77777777" w:rsidTr="0098752B">
        <w:trPr>
          <w:trHeight w:val="345"/>
          <w:jc w:val="center"/>
        </w:trPr>
        <w:tc>
          <w:tcPr>
            <w:tcW w:w="1845" w:type="dxa"/>
            <w:tcBorders>
              <w:top w:val="single" w:sz="4" w:space="0" w:color="auto"/>
              <w:left w:val="single" w:sz="4" w:space="0" w:color="auto"/>
              <w:bottom w:val="single" w:sz="4" w:space="0" w:color="auto"/>
              <w:right w:val="single" w:sz="4" w:space="0" w:color="auto"/>
            </w:tcBorders>
            <w:noWrap/>
            <w:vAlign w:val="center"/>
            <w:hideMark/>
          </w:tcPr>
          <w:p w14:paraId="795DCEA3" w14:textId="77777777" w:rsidR="000C1E0E" w:rsidRDefault="000C1E0E" w:rsidP="0098752B">
            <w:pPr>
              <w:spacing w:after="200" w:line="360" w:lineRule="auto"/>
              <w:jc w:val="center"/>
              <w:rPr>
                <w:rFonts w:ascii="Times New Roman" w:eastAsiaTheme="minorHAnsi" w:hAnsi="Times New Roman"/>
                <w:sz w:val="24"/>
                <w:szCs w:val="24"/>
                <w:lang w:eastAsia="en-US"/>
              </w:rPr>
            </w:pPr>
            <w:r>
              <w:rPr>
                <w:rFonts w:ascii="Times New Roman" w:eastAsiaTheme="minorHAnsi" w:hAnsi="Times New Roman"/>
                <w:sz w:val="24"/>
                <w:szCs w:val="24"/>
                <w:lang w:eastAsia="en-US"/>
              </w:rPr>
              <w:t>Ваа1</w:t>
            </w:r>
          </w:p>
        </w:tc>
        <w:tc>
          <w:tcPr>
            <w:tcW w:w="1845" w:type="dxa"/>
            <w:tcBorders>
              <w:top w:val="single" w:sz="4" w:space="0" w:color="auto"/>
              <w:left w:val="single" w:sz="4" w:space="0" w:color="auto"/>
              <w:bottom w:val="single" w:sz="8" w:space="0" w:color="auto"/>
              <w:right w:val="single" w:sz="8" w:space="0" w:color="auto"/>
            </w:tcBorders>
            <w:vAlign w:val="center"/>
            <w:hideMark/>
          </w:tcPr>
          <w:p w14:paraId="1ECD3110" w14:textId="77777777" w:rsidR="000C1E0E" w:rsidRDefault="000C1E0E" w:rsidP="0098752B">
            <w:pPr>
              <w:spacing w:after="200" w:line="360" w:lineRule="auto"/>
              <w:jc w:val="center"/>
              <w:rPr>
                <w:rFonts w:ascii="Times New Roman" w:eastAsiaTheme="minorHAnsi" w:hAnsi="Times New Roman"/>
                <w:sz w:val="24"/>
                <w:szCs w:val="24"/>
                <w:lang w:eastAsia="en-US"/>
              </w:rPr>
            </w:pPr>
            <w:r>
              <w:rPr>
                <w:rFonts w:ascii="Times New Roman" w:eastAsiaTheme="minorHAnsi" w:hAnsi="Times New Roman"/>
                <w:sz w:val="24"/>
                <w:szCs w:val="24"/>
                <w:lang w:eastAsia="en-US"/>
              </w:rPr>
              <w:t>ВВВ+</w:t>
            </w:r>
          </w:p>
        </w:tc>
        <w:tc>
          <w:tcPr>
            <w:tcW w:w="1845" w:type="dxa"/>
            <w:tcBorders>
              <w:top w:val="single" w:sz="4" w:space="0" w:color="auto"/>
              <w:left w:val="nil"/>
              <w:bottom w:val="single" w:sz="8" w:space="0" w:color="auto"/>
              <w:right w:val="single" w:sz="4" w:space="0" w:color="auto"/>
            </w:tcBorders>
            <w:noWrap/>
            <w:vAlign w:val="center"/>
            <w:hideMark/>
          </w:tcPr>
          <w:p w14:paraId="40DFF13A" w14:textId="77777777" w:rsidR="000C1E0E" w:rsidRDefault="000C1E0E" w:rsidP="0098752B">
            <w:pPr>
              <w:spacing w:after="200" w:line="360" w:lineRule="auto"/>
              <w:jc w:val="center"/>
              <w:rPr>
                <w:rFonts w:ascii="Times New Roman" w:eastAsiaTheme="minorHAnsi" w:hAnsi="Times New Roman"/>
                <w:sz w:val="24"/>
                <w:szCs w:val="24"/>
                <w:lang w:eastAsia="en-US"/>
              </w:rPr>
            </w:pPr>
            <w:r>
              <w:rPr>
                <w:rFonts w:ascii="Times New Roman" w:eastAsiaTheme="minorHAnsi" w:hAnsi="Times New Roman"/>
                <w:sz w:val="24"/>
                <w:szCs w:val="24"/>
                <w:lang w:eastAsia="en-US"/>
              </w:rPr>
              <w:t>ВВВ+</w:t>
            </w:r>
          </w:p>
        </w:tc>
        <w:tc>
          <w:tcPr>
            <w:tcW w:w="1577" w:type="dxa"/>
            <w:vMerge w:val="restart"/>
            <w:tcBorders>
              <w:top w:val="single" w:sz="4" w:space="0" w:color="auto"/>
              <w:left w:val="single" w:sz="4" w:space="0" w:color="auto"/>
              <w:bottom w:val="single" w:sz="4" w:space="0" w:color="auto"/>
              <w:right w:val="single" w:sz="4" w:space="0" w:color="auto"/>
            </w:tcBorders>
            <w:noWrap/>
            <w:vAlign w:val="center"/>
            <w:hideMark/>
          </w:tcPr>
          <w:p w14:paraId="6A3623AC" w14:textId="77777777" w:rsidR="000C1E0E" w:rsidRDefault="000C1E0E" w:rsidP="0098752B">
            <w:pPr>
              <w:spacing w:after="200" w:line="360" w:lineRule="auto"/>
              <w:jc w:val="center"/>
              <w:rPr>
                <w:rFonts w:ascii="Times New Roman" w:eastAsiaTheme="minorHAnsi" w:hAnsi="Times New Roman"/>
                <w:b/>
                <w:bCs/>
                <w:sz w:val="24"/>
                <w:szCs w:val="24"/>
                <w:lang w:eastAsia="en-US"/>
              </w:rPr>
            </w:pPr>
            <w:r>
              <w:rPr>
                <w:rFonts w:ascii="Times New Roman" w:eastAsiaTheme="minorHAnsi" w:hAnsi="Times New Roman"/>
                <w:b/>
                <w:bCs/>
                <w:sz w:val="24"/>
                <w:szCs w:val="24"/>
                <w:lang w:eastAsia="en-US"/>
              </w:rPr>
              <w:t>Рейтинговая группа I</w:t>
            </w:r>
          </w:p>
        </w:tc>
      </w:tr>
      <w:tr w:rsidR="000C1E0E" w14:paraId="124F8654" w14:textId="77777777" w:rsidTr="0098752B">
        <w:trPr>
          <w:trHeight w:val="345"/>
          <w:jc w:val="center"/>
        </w:trPr>
        <w:tc>
          <w:tcPr>
            <w:tcW w:w="1845" w:type="dxa"/>
            <w:tcBorders>
              <w:top w:val="single" w:sz="4" w:space="0" w:color="auto"/>
              <w:left w:val="single" w:sz="4" w:space="0" w:color="auto"/>
              <w:bottom w:val="single" w:sz="4" w:space="0" w:color="auto"/>
              <w:right w:val="single" w:sz="4" w:space="0" w:color="auto"/>
            </w:tcBorders>
            <w:noWrap/>
            <w:vAlign w:val="center"/>
            <w:hideMark/>
          </w:tcPr>
          <w:p w14:paraId="2EFA48A7" w14:textId="77777777" w:rsidR="000C1E0E" w:rsidRDefault="000C1E0E" w:rsidP="0098752B">
            <w:pPr>
              <w:spacing w:after="200" w:line="360" w:lineRule="auto"/>
              <w:jc w:val="center"/>
              <w:rPr>
                <w:rFonts w:ascii="Times New Roman" w:eastAsiaTheme="minorHAnsi" w:hAnsi="Times New Roman"/>
                <w:sz w:val="24"/>
                <w:szCs w:val="24"/>
                <w:lang w:eastAsia="en-US"/>
              </w:rPr>
            </w:pPr>
            <w:r>
              <w:rPr>
                <w:rFonts w:ascii="Times New Roman" w:eastAsiaTheme="minorHAnsi" w:hAnsi="Times New Roman"/>
                <w:sz w:val="24"/>
                <w:szCs w:val="24"/>
                <w:lang w:eastAsia="en-US"/>
              </w:rPr>
              <w:t>Ваа2</w:t>
            </w:r>
          </w:p>
        </w:tc>
        <w:tc>
          <w:tcPr>
            <w:tcW w:w="1845" w:type="dxa"/>
            <w:tcBorders>
              <w:top w:val="nil"/>
              <w:left w:val="single" w:sz="4" w:space="0" w:color="auto"/>
              <w:bottom w:val="single" w:sz="8" w:space="0" w:color="auto"/>
              <w:right w:val="single" w:sz="8" w:space="0" w:color="auto"/>
            </w:tcBorders>
            <w:vAlign w:val="center"/>
            <w:hideMark/>
          </w:tcPr>
          <w:p w14:paraId="52C1EAFC" w14:textId="77777777" w:rsidR="000C1E0E" w:rsidRDefault="000C1E0E" w:rsidP="0098752B">
            <w:pPr>
              <w:spacing w:after="200" w:line="360" w:lineRule="auto"/>
              <w:jc w:val="center"/>
              <w:rPr>
                <w:rFonts w:ascii="Times New Roman" w:eastAsiaTheme="minorHAnsi" w:hAnsi="Times New Roman"/>
                <w:sz w:val="24"/>
                <w:szCs w:val="24"/>
                <w:lang w:eastAsia="en-US"/>
              </w:rPr>
            </w:pPr>
            <w:r>
              <w:rPr>
                <w:rFonts w:ascii="Times New Roman" w:eastAsiaTheme="minorHAnsi" w:hAnsi="Times New Roman"/>
                <w:sz w:val="24"/>
                <w:szCs w:val="24"/>
                <w:lang w:eastAsia="en-US"/>
              </w:rPr>
              <w:t>ВВВ</w:t>
            </w:r>
          </w:p>
        </w:tc>
        <w:tc>
          <w:tcPr>
            <w:tcW w:w="1845" w:type="dxa"/>
            <w:tcBorders>
              <w:top w:val="nil"/>
              <w:left w:val="nil"/>
              <w:bottom w:val="single" w:sz="8" w:space="0" w:color="auto"/>
              <w:right w:val="single" w:sz="4" w:space="0" w:color="auto"/>
            </w:tcBorders>
            <w:noWrap/>
            <w:vAlign w:val="center"/>
            <w:hideMark/>
          </w:tcPr>
          <w:p w14:paraId="7460A7DA" w14:textId="77777777" w:rsidR="000C1E0E" w:rsidRDefault="000C1E0E" w:rsidP="0098752B">
            <w:pPr>
              <w:spacing w:after="200" w:line="360" w:lineRule="auto"/>
              <w:jc w:val="center"/>
              <w:rPr>
                <w:rFonts w:ascii="Times New Roman" w:eastAsiaTheme="minorHAnsi" w:hAnsi="Times New Roman"/>
                <w:sz w:val="24"/>
                <w:szCs w:val="24"/>
                <w:lang w:eastAsia="en-US"/>
              </w:rPr>
            </w:pPr>
            <w:r>
              <w:rPr>
                <w:rFonts w:ascii="Times New Roman" w:eastAsiaTheme="minorHAnsi" w:hAnsi="Times New Roman"/>
                <w:sz w:val="24"/>
                <w:szCs w:val="24"/>
                <w:lang w:eastAsia="en-US"/>
              </w:rPr>
              <w:t>ВВВ</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3B143C06" w14:textId="77777777" w:rsidR="000C1E0E" w:rsidRDefault="000C1E0E" w:rsidP="0098752B">
            <w:pPr>
              <w:spacing w:line="240" w:lineRule="auto"/>
              <w:jc w:val="left"/>
              <w:rPr>
                <w:rFonts w:ascii="Times New Roman" w:eastAsiaTheme="minorHAnsi" w:hAnsi="Times New Roman"/>
                <w:b/>
                <w:bCs/>
                <w:sz w:val="24"/>
                <w:szCs w:val="24"/>
                <w:lang w:eastAsia="en-US"/>
              </w:rPr>
            </w:pPr>
          </w:p>
        </w:tc>
      </w:tr>
      <w:tr w:rsidR="000C1E0E" w14:paraId="2DDE64BF" w14:textId="77777777" w:rsidTr="0098752B">
        <w:trPr>
          <w:trHeight w:val="345"/>
          <w:jc w:val="center"/>
        </w:trPr>
        <w:tc>
          <w:tcPr>
            <w:tcW w:w="1845" w:type="dxa"/>
            <w:tcBorders>
              <w:top w:val="single" w:sz="4" w:space="0" w:color="auto"/>
              <w:left w:val="single" w:sz="4" w:space="0" w:color="auto"/>
              <w:bottom w:val="single" w:sz="4" w:space="0" w:color="auto"/>
              <w:right w:val="single" w:sz="4" w:space="0" w:color="auto"/>
            </w:tcBorders>
            <w:noWrap/>
            <w:vAlign w:val="center"/>
            <w:hideMark/>
          </w:tcPr>
          <w:p w14:paraId="0FE0F752" w14:textId="77777777" w:rsidR="000C1E0E" w:rsidRDefault="000C1E0E" w:rsidP="0098752B">
            <w:pPr>
              <w:spacing w:after="200" w:line="360" w:lineRule="auto"/>
              <w:jc w:val="center"/>
              <w:rPr>
                <w:rFonts w:ascii="Times New Roman" w:eastAsiaTheme="minorHAnsi" w:hAnsi="Times New Roman"/>
                <w:sz w:val="24"/>
                <w:szCs w:val="24"/>
                <w:lang w:eastAsia="en-US"/>
              </w:rPr>
            </w:pPr>
            <w:r>
              <w:rPr>
                <w:rFonts w:ascii="Times New Roman" w:eastAsiaTheme="minorHAnsi" w:hAnsi="Times New Roman"/>
                <w:sz w:val="24"/>
                <w:szCs w:val="24"/>
                <w:lang w:eastAsia="en-US"/>
              </w:rPr>
              <w:t>Ваа3</w:t>
            </w:r>
          </w:p>
        </w:tc>
        <w:tc>
          <w:tcPr>
            <w:tcW w:w="1845" w:type="dxa"/>
            <w:tcBorders>
              <w:top w:val="nil"/>
              <w:left w:val="single" w:sz="4" w:space="0" w:color="auto"/>
              <w:bottom w:val="single" w:sz="8" w:space="0" w:color="auto"/>
              <w:right w:val="single" w:sz="8" w:space="0" w:color="auto"/>
            </w:tcBorders>
            <w:vAlign w:val="center"/>
            <w:hideMark/>
          </w:tcPr>
          <w:p w14:paraId="447CBE1C" w14:textId="77777777" w:rsidR="000C1E0E" w:rsidRDefault="000C1E0E" w:rsidP="0098752B">
            <w:pPr>
              <w:spacing w:after="200" w:line="360" w:lineRule="auto"/>
              <w:jc w:val="center"/>
              <w:rPr>
                <w:rFonts w:ascii="Times New Roman" w:eastAsiaTheme="minorHAnsi" w:hAnsi="Times New Roman"/>
                <w:sz w:val="24"/>
                <w:szCs w:val="24"/>
                <w:lang w:eastAsia="en-US"/>
              </w:rPr>
            </w:pPr>
            <w:r>
              <w:rPr>
                <w:rFonts w:ascii="Times New Roman" w:eastAsiaTheme="minorHAnsi" w:hAnsi="Times New Roman"/>
                <w:sz w:val="24"/>
                <w:szCs w:val="24"/>
                <w:lang w:eastAsia="en-US"/>
              </w:rPr>
              <w:t>ВВВ-</w:t>
            </w:r>
          </w:p>
        </w:tc>
        <w:tc>
          <w:tcPr>
            <w:tcW w:w="1845" w:type="dxa"/>
            <w:tcBorders>
              <w:top w:val="nil"/>
              <w:left w:val="nil"/>
              <w:bottom w:val="single" w:sz="8" w:space="0" w:color="auto"/>
              <w:right w:val="single" w:sz="4" w:space="0" w:color="auto"/>
            </w:tcBorders>
            <w:noWrap/>
            <w:vAlign w:val="center"/>
            <w:hideMark/>
          </w:tcPr>
          <w:p w14:paraId="0096104B" w14:textId="77777777" w:rsidR="000C1E0E" w:rsidRDefault="000C1E0E" w:rsidP="0098752B">
            <w:pPr>
              <w:spacing w:after="200" w:line="360" w:lineRule="auto"/>
              <w:jc w:val="center"/>
              <w:rPr>
                <w:rFonts w:ascii="Times New Roman" w:eastAsiaTheme="minorHAnsi" w:hAnsi="Times New Roman"/>
                <w:sz w:val="24"/>
                <w:szCs w:val="24"/>
                <w:lang w:eastAsia="en-US"/>
              </w:rPr>
            </w:pPr>
            <w:r>
              <w:rPr>
                <w:rFonts w:ascii="Times New Roman" w:eastAsiaTheme="minorHAnsi" w:hAnsi="Times New Roman"/>
                <w:sz w:val="24"/>
                <w:szCs w:val="24"/>
                <w:lang w:eastAsia="en-US"/>
              </w:rPr>
              <w:t>ВВВ-</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17FBB1BD" w14:textId="77777777" w:rsidR="000C1E0E" w:rsidRDefault="000C1E0E" w:rsidP="0098752B">
            <w:pPr>
              <w:spacing w:line="240" w:lineRule="auto"/>
              <w:jc w:val="left"/>
              <w:rPr>
                <w:rFonts w:ascii="Times New Roman" w:eastAsiaTheme="minorHAnsi" w:hAnsi="Times New Roman"/>
                <w:b/>
                <w:bCs/>
                <w:sz w:val="24"/>
                <w:szCs w:val="24"/>
                <w:lang w:eastAsia="en-US"/>
              </w:rPr>
            </w:pPr>
          </w:p>
        </w:tc>
      </w:tr>
      <w:tr w:rsidR="000C1E0E" w14:paraId="247D4361" w14:textId="77777777" w:rsidTr="0098752B">
        <w:trPr>
          <w:trHeight w:val="345"/>
          <w:jc w:val="center"/>
        </w:trPr>
        <w:tc>
          <w:tcPr>
            <w:tcW w:w="1845" w:type="dxa"/>
            <w:tcBorders>
              <w:top w:val="single" w:sz="4" w:space="0" w:color="auto"/>
              <w:left w:val="single" w:sz="4" w:space="0" w:color="auto"/>
              <w:bottom w:val="single" w:sz="4" w:space="0" w:color="auto"/>
              <w:right w:val="single" w:sz="4" w:space="0" w:color="auto"/>
            </w:tcBorders>
            <w:noWrap/>
            <w:vAlign w:val="center"/>
            <w:hideMark/>
          </w:tcPr>
          <w:p w14:paraId="47CBC47F" w14:textId="77777777" w:rsidR="000C1E0E" w:rsidRDefault="000C1E0E" w:rsidP="0098752B">
            <w:pPr>
              <w:spacing w:after="200" w:line="360" w:lineRule="auto"/>
              <w:jc w:val="center"/>
              <w:rPr>
                <w:rFonts w:ascii="Times New Roman" w:eastAsiaTheme="minorHAnsi" w:hAnsi="Times New Roman"/>
                <w:sz w:val="24"/>
                <w:szCs w:val="24"/>
                <w:lang w:eastAsia="en-US"/>
              </w:rPr>
            </w:pPr>
            <w:r>
              <w:rPr>
                <w:rFonts w:ascii="Times New Roman" w:eastAsiaTheme="minorHAnsi" w:hAnsi="Times New Roman"/>
                <w:sz w:val="24"/>
                <w:szCs w:val="24"/>
                <w:lang w:eastAsia="en-US"/>
              </w:rPr>
              <w:t>Ва1</w:t>
            </w:r>
          </w:p>
        </w:tc>
        <w:tc>
          <w:tcPr>
            <w:tcW w:w="1845" w:type="dxa"/>
            <w:tcBorders>
              <w:top w:val="nil"/>
              <w:left w:val="single" w:sz="4" w:space="0" w:color="auto"/>
              <w:bottom w:val="single" w:sz="8" w:space="0" w:color="auto"/>
              <w:right w:val="single" w:sz="8" w:space="0" w:color="auto"/>
            </w:tcBorders>
            <w:vAlign w:val="center"/>
            <w:hideMark/>
          </w:tcPr>
          <w:p w14:paraId="6F3E1ACE" w14:textId="77777777" w:rsidR="000C1E0E" w:rsidRDefault="000C1E0E" w:rsidP="0098752B">
            <w:pPr>
              <w:spacing w:after="200" w:line="360" w:lineRule="auto"/>
              <w:jc w:val="center"/>
              <w:rPr>
                <w:rFonts w:ascii="Times New Roman" w:eastAsiaTheme="minorHAnsi" w:hAnsi="Times New Roman"/>
                <w:sz w:val="24"/>
                <w:szCs w:val="24"/>
                <w:lang w:eastAsia="en-US"/>
              </w:rPr>
            </w:pPr>
            <w:r>
              <w:rPr>
                <w:rFonts w:ascii="Times New Roman" w:eastAsiaTheme="minorHAnsi" w:hAnsi="Times New Roman"/>
                <w:sz w:val="24"/>
                <w:szCs w:val="24"/>
                <w:lang w:eastAsia="en-US"/>
              </w:rPr>
              <w:t>ВВ+</w:t>
            </w:r>
          </w:p>
        </w:tc>
        <w:tc>
          <w:tcPr>
            <w:tcW w:w="1845" w:type="dxa"/>
            <w:tcBorders>
              <w:top w:val="nil"/>
              <w:left w:val="nil"/>
              <w:bottom w:val="single" w:sz="8" w:space="0" w:color="auto"/>
              <w:right w:val="single" w:sz="8" w:space="0" w:color="auto"/>
            </w:tcBorders>
            <w:noWrap/>
            <w:vAlign w:val="center"/>
            <w:hideMark/>
          </w:tcPr>
          <w:p w14:paraId="3C975130" w14:textId="77777777" w:rsidR="000C1E0E" w:rsidRDefault="000C1E0E" w:rsidP="0098752B">
            <w:pPr>
              <w:spacing w:after="200" w:line="360" w:lineRule="auto"/>
              <w:jc w:val="center"/>
              <w:rPr>
                <w:rFonts w:ascii="Times New Roman" w:eastAsiaTheme="minorHAnsi" w:hAnsi="Times New Roman"/>
                <w:sz w:val="24"/>
                <w:szCs w:val="24"/>
                <w:lang w:eastAsia="en-US"/>
              </w:rPr>
            </w:pPr>
            <w:r>
              <w:rPr>
                <w:rFonts w:ascii="Times New Roman" w:eastAsiaTheme="minorHAnsi" w:hAnsi="Times New Roman"/>
                <w:sz w:val="24"/>
                <w:szCs w:val="24"/>
                <w:lang w:eastAsia="en-US"/>
              </w:rPr>
              <w:t>ВВ+</w:t>
            </w:r>
          </w:p>
        </w:tc>
        <w:tc>
          <w:tcPr>
            <w:tcW w:w="1577" w:type="dxa"/>
            <w:vMerge w:val="restart"/>
            <w:tcBorders>
              <w:top w:val="single" w:sz="4" w:space="0" w:color="auto"/>
              <w:left w:val="single" w:sz="8" w:space="0" w:color="auto"/>
              <w:bottom w:val="single" w:sz="8" w:space="0" w:color="000000"/>
              <w:right w:val="single" w:sz="8" w:space="0" w:color="auto"/>
            </w:tcBorders>
            <w:vAlign w:val="center"/>
            <w:hideMark/>
          </w:tcPr>
          <w:p w14:paraId="14127E20" w14:textId="77777777" w:rsidR="000C1E0E" w:rsidRDefault="000C1E0E" w:rsidP="0098752B">
            <w:pPr>
              <w:spacing w:after="200" w:line="360" w:lineRule="auto"/>
              <w:jc w:val="center"/>
              <w:rPr>
                <w:rFonts w:ascii="Times New Roman" w:eastAsiaTheme="minorHAnsi" w:hAnsi="Times New Roman"/>
                <w:b/>
                <w:bCs/>
                <w:sz w:val="24"/>
                <w:szCs w:val="24"/>
                <w:lang w:eastAsia="en-US"/>
              </w:rPr>
            </w:pPr>
            <w:r>
              <w:rPr>
                <w:rFonts w:ascii="Times New Roman" w:eastAsiaTheme="minorHAnsi" w:hAnsi="Times New Roman"/>
                <w:b/>
                <w:bCs/>
                <w:sz w:val="24"/>
                <w:szCs w:val="24"/>
                <w:lang w:eastAsia="en-US"/>
              </w:rPr>
              <w:t>Рейтинговая группа II</w:t>
            </w:r>
          </w:p>
        </w:tc>
      </w:tr>
      <w:tr w:rsidR="000C1E0E" w14:paraId="3490033A" w14:textId="77777777" w:rsidTr="0098752B">
        <w:trPr>
          <w:trHeight w:val="345"/>
          <w:jc w:val="center"/>
        </w:trPr>
        <w:tc>
          <w:tcPr>
            <w:tcW w:w="1845" w:type="dxa"/>
            <w:tcBorders>
              <w:top w:val="single" w:sz="4" w:space="0" w:color="auto"/>
              <w:left w:val="single" w:sz="4" w:space="0" w:color="auto"/>
              <w:bottom w:val="single" w:sz="4" w:space="0" w:color="auto"/>
              <w:right w:val="single" w:sz="4" w:space="0" w:color="auto"/>
            </w:tcBorders>
            <w:noWrap/>
            <w:vAlign w:val="center"/>
            <w:hideMark/>
          </w:tcPr>
          <w:p w14:paraId="748EAB17" w14:textId="77777777" w:rsidR="000C1E0E" w:rsidRDefault="000C1E0E" w:rsidP="0098752B">
            <w:pPr>
              <w:spacing w:after="200" w:line="360" w:lineRule="auto"/>
              <w:jc w:val="center"/>
              <w:rPr>
                <w:rFonts w:ascii="Times New Roman" w:eastAsiaTheme="minorHAnsi" w:hAnsi="Times New Roman"/>
                <w:sz w:val="24"/>
                <w:szCs w:val="24"/>
                <w:lang w:eastAsia="en-US"/>
              </w:rPr>
            </w:pPr>
            <w:r>
              <w:rPr>
                <w:rFonts w:ascii="Times New Roman" w:eastAsiaTheme="minorHAnsi" w:hAnsi="Times New Roman"/>
                <w:sz w:val="24"/>
                <w:szCs w:val="24"/>
                <w:lang w:eastAsia="en-US"/>
              </w:rPr>
              <w:t>Ва2</w:t>
            </w:r>
          </w:p>
        </w:tc>
        <w:tc>
          <w:tcPr>
            <w:tcW w:w="1845" w:type="dxa"/>
            <w:tcBorders>
              <w:top w:val="nil"/>
              <w:left w:val="single" w:sz="4" w:space="0" w:color="auto"/>
              <w:bottom w:val="single" w:sz="8" w:space="0" w:color="auto"/>
              <w:right w:val="single" w:sz="8" w:space="0" w:color="auto"/>
            </w:tcBorders>
            <w:vAlign w:val="center"/>
            <w:hideMark/>
          </w:tcPr>
          <w:p w14:paraId="20467CCE" w14:textId="77777777" w:rsidR="000C1E0E" w:rsidRDefault="000C1E0E" w:rsidP="0098752B">
            <w:pPr>
              <w:spacing w:after="200" w:line="360" w:lineRule="auto"/>
              <w:jc w:val="center"/>
              <w:rPr>
                <w:rFonts w:ascii="Times New Roman" w:eastAsiaTheme="minorHAnsi" w:hAnsi="Times New Roman"/>
                <w:sz w:val="24"/>
                <w:szCs w:val="24"/>
                <w:lang w:eastAsia="en-US"/>
              </w:rPr>
            </w:pPr>
            <w:r>
              <w:rPr>
                <w:rFonts w:ascii="Times New Roman" w:eastAsiaTheme="minorHAnsi" w:hAnsi="Times New Roman"/>
                <w:sz w:val="24"/>
                <w:szCs w:val="24"/>
                <w:lang w:eastAsia="en-US"/>
              </w:rPr>
              <w:t>ВВ</w:t>
            </w:r>
          </w:p>
        </w:tc>
        <w:tc>
          <w:tcPr>
            <w:tcW w:w="1845" w:type="dxa"/>
            <w:tcBorders>
              <w:top w:val="nil"/>
              <w:left w:val="nil"/>
              <w:bottom w:val="single" w:sz="8" w:space="0" w:color="auto"/>
              <w:right w:val="single" w:sz="8" w:space="0" w:color="auto"/>
            </w:tcBorders>
            <w:noWrap/>
            <w:vAlign w:val="center"/>
            <w:hideMark/>
          </w:tcPr>
          <w:p w14:paraId="4B2EB072" w14:textId="77777777" w:rsidR="000C1E0E" w:rsidRDefault="000C1E0E" w:rsidP="0098752B">
            <w:pPr>
              <w:spacing w:after="200" w:line="360" w:lineRule="auto"/>
              <w:jc w:val="center"/>
              <w:rPr>
                <w:rFonts w:ascii="Times New Roman" w:eastAsiaTheme="minorHAnsi" w:hAnsi="Times New Roman"/>
                <w:sz w:val="24"/>
                <w:szCs w:val="24"/>
                <w:lang w:eastAsia="en-US"/>
              </w:rPr>
            </w:pPr>
            <w:r>
              <w:rPr>
                <w:rFonts w:ascii="Times New Roman" w:eastAsiaTheme="minorHAnsi" w:hAnsi="Times New Roman"/>
                <w:sz w:val="24"/>
                <w:szCs w:val="24"/>
                <w:lang w:eastAsia="en-US"/>
              </w:rPr>
              <w:t>ВВ</w:t>
            </w:r>
          </w:p>
        </w:tc>
        <w:tc>
          <w:tcPr>
            <w:tcW w:w="0" w:type="auto"/>
            <w:vMerge/>
            <w:tcBorders>
              <w:top w:val="single" w:sz="4" w:space="0" w:color="auto"/>
              <w:left w:val="single" w:sz="8" w:space="0" w:color="auto"/>
              <w:bottom w:val="single" w:sz="8" w:space="0" w:color="000000"/>
              <w:right w:val="single" w:sz="8" w:space="0" w:color="auto"/>
            </w:tcBorders>
            <w:vAlign w:val="center"/>
            <w:hideMark/>
          </w:tcPr>
          <w:p w14:paraId="5933D570" w14:textId="77777777" w:rsidR="000C1E0E" w:rsidRDefault="000C1E0E" w:rsidP="0098752B">
            <w:pPr>
              <w:spacing w:line="240" w:lineRule="auto"/>
              <w:jc w:val="left"/>
              <w:rPr>
                <w:rFonts w:ascii="Times New Roman" w:eastAsiaTheme="minorHAnsi" w:hAnsi="Times New Roman"/>
                <w:b/>
                <w:bCs/>
                <w:sz w:val="24"/>
                <w:szCs w:val="24"/>
                <w:lang w:eastAsia="en-US"/>
              </w:rPr>
            </w:pPr>
          </w:p>
        </w:tc>
      </w:tr>
      <w:tr w:rsidR="000C1E0E" w14:paraId="546F515C" w14:textId="77777777" w:rsidTr="0098752B">
        <w:trPr>
          <w:trHeight w:val="345"/>
          <w:jc w:val="center"/>
        </w:trPr>
        <w:tc>
          <w:tcPr>
            <w:tcW w:w="1845" w:type="dxa"/>
            <w:tcBorders>
              <w:top w:val="single" w:sz="4" w:space="0" w:color="auto"/>
              <w:left w:val="single" w:sz="4" w:space="0" w:color="auto"/>
              <w:bottom w:val="single" w:sz="4" w:space="0" w:color="auto"/>
              <w:right w:val="single" w:sz="4" w:space="0" w:color="auto"/>
            </w:tcBorders>
            <w:vAlign w:val="center"/>
            <w:hideMark/>
          </w:tcPr>
          <w:p w14:paraId="13D8A43C" w14:textId="77777777" w:rsidR="000C1E0E" w:rsidRDefault="000C1E0E" w:rsidP="0098752B">
            <w:pPr>
              <w:spacing w:after="200" w:line="360" w:lineRule="auto"/>
              <w:jc w:val="center"/>
              <w:rPr>
                <w:rFonts w:ascii="Times New Roman" w:eastAsiaTheme="minorHAnsi" w:hAnsi="Times New Roman"/>
                <w:sz w:val="24"/>
                <w:szCs w:val="24"/>
                <w:lang w:eastAsia="en-US"/>
              </w:rPr>
            </w:pPr>
            <w:r>
              <w:rPr>
                <w:rFonts w:ascii="Times New Roman" w:eastAsiaTheme="minorHAnsi" w:hAnsi="Times New Roman"/>
                <w:sz w:val="24"/>
                <w:szCs w:val="24"/>
                <w:lang w:eastAsia="en-US"/>
              </w:rPr>
              <w:t>Ва3</w:t>
            </w:r>
          </w:p>
        </w:tc>
        <w:tc>
          <w:tcPr>
            <w:tcW w:w="1845" w:type="dxa"/>
            <w:tcBorders>
              <w:top w:val="nil"/>
              <w:left w:val="single" w:sz="4" w:space="0" w:color="auto"/>
              <w:bottom w:val="single" w:sz="8" w:space="0" w:color="auto"/>
              <w:right w:val="single" w:sz="8" w:space="0" w:color="auto"/>
            </w:tcBorders>
            <w:vAlign w:val="center"/>
            <w:hideMark/>
          </w:tcPr>
          <w:p w14:paraId="7921554E" w14:textId="77777777" w:rsidR="000C1E0E" w:rsidRDefault="000C1E0E" w:rsidP="0098752B">
            <w:pPr>
              <w:spacing w:after="200" w:line="360" w:lineRule="auto"/>
              <w:jc w:val="center"/>
              <w:rPr>
                <w:rFonts w:ascii="Times New Roman" w:eastAsiaTheme="minorHAnsi" w:hAnsi="Times New Roman"/>
                <w:sz w:val="24"/>
                <w:szCs w:val="24"/>
                <w:lang w:eastAsia="en-US"/>
              </w:rPr>
            </w:pPr>
            <w:r>
              <w:rPr>
                <w:rFonts w:ascii="Times New Roman" w:eastAsiaTheme="minorHAnsi" w:hAnsi="Times New Roman"/>
                <w:sz w:val="24"/>
                <w:szCs w:val="24"/>
                <w:lang w:eastAsia="en-US"/>
              </w:rPr>
              <w:t>ВВ-</w:t>
            </w:r>
          </w:p>
        </w:tc>
        <w:tc>
          <w:tcPr>
            <w:tcW w:w="1845" w:type="dxa"/>
            <w:tcBorders>
              <w:top w:val="nil"/>
              <w:left w:val="nil"/>
              <w:bottom w:val="single" w:sz="8" w:space="0" w:color="auto"/>
              <w:right w:val="single" w:sz="8" w:space="0" w:color="auto"/>
            </w:tcBorders>
            <w:vAlign w:val="center"/>
            <w:hideMark/>
          </w:tcPr>
          <w:p w14:paraId="0ED2846E" w14:textId="77777777" w:rsidR="000C1E0E" w:rsidRDefault="000C1E0E" w:rsidP="0098752B">
            <w:pPr>
              <w:spacing w:after="200" w:line="360" w:lineRule="auto"/>
              <w:jc w:val="center"/>
              <w:rPr>
                <w:rFonts w:ascii="Times New Roman" w:eastAsiaTheme="minorHAnsi" w:hAnsi="Times New Roman"/>
                <w:sz w:val="24"/>
                <w:szCs w:val="24"/>
                <w:lang w:eastAsia="en-US"/>
              </w:rPr>
            </w:pPr>
            <w:r>
              <w:rPr>
                <w:rFonts w:ascii="Times New Roman" w:eastAsiaTheme="minorHAnsi" w:hAnsi="Times New Roman"/>
                <w:sz w:val="24"/>
                <w:szCs w:val="24"/>
                <w:lang w:eastAsia="en-US"/>
              </w:rPr>
              <w:t>ВВ-</w:t>
            </w:r>
          </w:p>
        </w:tc>
        <w:tc>
          <w:tcPr>
            <w:tcW w:w="0" w:type="auto"/>
            <w:vMerge/>
            <w:tcBorders>
              <w:top w:val="single" w:sz="4" w:space="0" w:color="auto"/>
              <w:left w:val="single" w:sz="8" w:space="0" w:color="auto"/>
              <w:bottom w:val="single" w:sz="8" w:space="0" w:color="000000"/>
              <w:right w:val="single" w:sz="8" w:space="0" w:color="auto"/>
            </w:tcBorders>
            <w:vAlign w:val="center"/>
            <w:hideMark/>
          </w:tcPr>
          <w:p w14:paraId="3D2F2370" w14:textId="77777777" w:rsidR="000C1E0E" w:rsidRDefault="000C1E0E" w:rsidP="0098752B">
            <w:pPr>
              <w:spacing w:line="240" w:lineRule="auto"/>
              <w:jc w:val="left"/>
              <w:rPr>
                <w:rFonts w:ascii="Times New Roman" w:eastAsiaTheme="minorHAnsi" w:hAnsi="Times New Roman"/>
                <w:b/>
                <w:bCs/>
                <w:sz w:val="24"/>
                <w:szCs w:val="24"/>
                <w:lang w:eastAsia="en-US"/>
              </w:rPr>
            </w:pPr>
          </w:p>
        </w:tc>
      </w:tr>
      <w:tr w:rsidR="000C1E0E" w14:paraId="1B687E30" w14:textId="77777777" w:rsidTr="0098752B">
        <w:trPr>
          <w:trHeight w:val="345"/>
          <w:jc w:val="center"/>
        </w:trPr>
        <w:tc>
          <w:tcPr>
            <w:tcW w:w="1845" w:type="dxa"/>
            <w:tcBorders>
              <w:top w:val="single" w:sz="4" w:space="0" w:color="auto"/>
              <w:left w:val="single" w:sz="4" w:space="0" w:color="auto"/>
              <w:bottom w:val="single" w:sz="4" w:space="0" w:color="auto"/>
              <w:right w:val="single" w:sz="4" w:space="0" w:color="auto"/>
            </w:tcBorders>
            <w:vAlign w:val="center"/>
            <w:hideMark/>
          </w:tcPr>
          <w:p w14:paraId="4D910FD0" w14:textId="77777777" w:rsidR="000C1E0E" w:rsidRDefault="000C1E0E" w:rsidP="0098752B">
            <w:pPr>
              <w:spacing w:after="200" w:line="360" w:lineRule="auto"/>
              <w:jc w:val="center"/>
              <w:rPr>
                <w:rFonts w:ascii="Times New Roman" w:eastAsiaTheme="minorHAnsi" w:hAnsi="Times New Roman"/>
                <w:sz w:val="24"/>
                <w:szCs w:val="24"/>
                <w:lang w:eastAsia="en-US"/>
              </w:rPr>
            </w:pPr>
            <w:r>
              <w:rPr>
                <w:rFonts w:ascii="Times New Roman" w:eastAsiaTheme="minorHAnsi" w:hAnsi="Times New Roman"/>
                <w:sz w:val="24"/>
                <w:szCs w:val="24"/>
                <w:lang w:eastAsia="en-US"/>
              </w:rPr>
              <w:t>В1</w:t>
            </w:r>
          </w:p>
        </w:tc>
        <w:tc>
          <w:tcPr>
            <w:tcW w:w="1845" w:type="dxa"/>
            <w:tcBorders>
              <w:top w:val="nil"/>
              <w:left w:val="single" w:sz="4" w:space="0" w:color="auto"/>
              <w:bottom w:val="single" w:sz="8" w:space="0" w:color="auto"/>
              <w:right w:val="single" w:sz="8" w:space="0" w:color="auto"/>
            </w:tcBorders>
            <w:vAlign w:val="center"/>
            <w:hideMark/>
          </w:tcPr>
          <w:p w14:paraId="51186CC9" w14:textId="77777777" w:rsidR="000C1E0E" w:rsidRDefault="000C1E0E" w:rsidP="0098752B">
            <w:pPr>
              <w:spacing w:after="200" w:line="360" w:lineRule="auto"/>
              <w:jc w:val="center"/>
              <w:rPr>
                <w:rFonts w:ascii="Times New Roman" w:eastAsiaTheme="minorHAnsi" w:hAnsi="Times New Roman"/>
                <w:sz w:val="24"/>
                <w:szCs w:val="24"/>
                <w:lang w:eastAsia="en-US"/>
              </w:rPr>
            </w:pPr>
            <w:r>
              <w:rPr>
                <w:rFonts w:ascii="Times New Roman" w:eastAsiaTheme="minorHAnsi" w:hAnsi="Times New Roman"/>
                <w:sz w:val="24"/>
                <w:szCs w:val="24"/>
                <w:lang w:eastAsia="en-US"/>
              </w:rPr>
              <w:t>В+</w:t>
            </w:r>
          </w:p>
        </w:tc>
        <w:tc>
          <w:tcPr>
            <w:tcW w:w="1845" w:type="dxa"/>
            <w:tcBorders>
              <w:top w:val="nil"/>
              <w:left w:val="nil"/>
              <w:bottom w:val="single" w:sz="8" w:space="0" w:color="auto"/>
              <w:right w:val="single" w:sz="8" w:space="0" w:color="auto"/>
            </w:tcBorders>
            <w:vAlign w:val="center"/>
            <w:hideMark/>
          </w:tcPr>
          <w:p w14:paraId="31124D23" w14:textId="77777777" w:rsidR="000C1E0E" w:rsidRDefault="000C1E0E" w:rsidP="0098752B">
            <w:pPr>
              <w:spacing w:after="200" w:line="360" w:lineRule="auto"/>
              <w:jc w:val="center"/>
              <w:rPr>
                <w:rFonts w:ascii="Times New Roman" w:eastAsiaTheme="minorHAnsi" w:hAnsi="Times New Roman"/>
                <w:sz w:val="24"/>
                <w:szCs w:val="24"/>
                <w:lang w:eastAsia="en-US"/>
              </w:rPr>
            </w:pPr>
            <w:r>
              <w:rPr>
                <w:rFonts w:ascii="Times New Roman" w:eastAsiaTheme="minorHAnsi" w:hAnsi="Times New Roman"/>
                <w:sz w:val="24"/>
                <w:szCs w:val="24"/>
                <w:lang w:eastAsia="en-US"/>
              </w:rPr>
              <w:t>В+</w:t>
            </w:r>
          </w:p>
        </w:tc>
        <w:tc>
          <w:tcPr>
            <w:tcW w:w="1577" w:type="dxa"/>
            <w:vMerge w:val="restart"/>
            <w:tcBorders>
              <w:top w:val="nil"/>
              <w:left w:val="single" w:sz="8" w:space="0" w:color="auto"/>
              <w:bottom w:val="single" w:sz="8" w:space="0" w:color="000000"/>
              <w:right w:val="single" w:sz="8" w:space="0" w:color="auto"/>
            </w:tcBorders>
            <w:vAlign w:val="center"/>
            <w:hideMark/>
          </w:tcPr>
          <w:p w14:paraId="262603B2" w14:textId="77777777" w:rsidR="000C1E0E" w:rsidRDefault="000C1E0E" w:rsidP="0098752B">
            <w:pPr>
              <w:spacing w:after="200" w:line="360" w:lineRule="auto"/>
              <w:jc w:val="center"/>
              <w:rPr>
                <w:rFonts w:ascii="Times New Roman" w:eastAsiaTheme="minorHAnsi" w:hAnsi="Times New Roman"/>
                <w:b/>
                <w:bCs/>
                <w:sz w:val="24"/>
                <w:szCs w:val="24"/>
                <w:lang w:val="en-US" w:eastAsia="en-US"/>
              </w:rPr>
            </w:pPr>
            <w:r>
              <w:rPr>
                <w:rFonts w:ascii="Times New Roman" w:eastAsiaTheme="minorHAnsi" w:hAnsi="Times New Roman"/>
                <w:b/>
                <w:bCs/>
                <w:sz w:val="24"/>
                <w:szCs w:val="24"/>
                <w:lang w:eastAsia="en-US"/>
              </w:rPr>
              <w:t>Рейтинговая группа II</w:t>
            </w:r>
            <w:r>
              <w:rPr>
                <w:rFonts w:ascii="Times New Roman" w:eastAsiaTheme="minorHAnsi" w:hAnsi="Times New Roman"/>
                <w:b/>
                <w:bCs/>
                <w:sz w:val="24"/>
                <w:szCs w:val="24"/>
                <w:lang w:val="en-US" w:eastAsia="en-US"/>
              </w:rPr>
              <w:t>I</w:t>
            </w:r>
          </w:p>
        </w:tc>
      </w:tr>
      <w:tr w:rsidR="000C1E0E" w14:paraId="2895428A" w14:textId="77777777" w:rsidTr="0098752B">
        <w:trPr>
          <w:trHeight w:val="345"/>
          <w:jc w:val="center"/>
        </w:trPr>
        <w:tc>
          <w:tcPr>
            <w:tcW w:w="1845" w:type="dxa"/>
            <w:tcBorders>
              <w:top w:val="single" w:sz="4" w:space="0" w:color="auto"/>
              <w:left w:val="single" w:sz="4" w:space="0" w:color="auto"/>
              <w:bottom w:val="single" w:sz="4" w:space="0" w:color="auto"/>
              <w:right w:val="single" w:sz="4" w:space="0" w:color="auto"/>
            </w:tcBorders>
            <w:vAlign w:val="center"/>
            <w:hideMark/>
          </w:tcPr>
          <w:p w14:paraId="12BDA599" w14:textId="77777777" w:rsidR="000C1E0E" w:rsidRDefault="000C1E0E" w:rsidP="0098752B">
            <w:pPr>
              <w:spacing w:after="200" w:line="360" w:lineRule="auto"/>
              <w:jc w:val="center"/>
              <w:rPr>
                <w:rFonts w:ascii="Times New Roman" w:eastAsiaTheme="minorHAnsi" w:hAnsi="Times New Roman"/>
                <w:sz w:val="24"/>
                <w:szCs w:val="24"/>
                <w:lang w:eastAsia="en-US"/>
              </w:rPr>
            </w:pPr>
            <w:r>
              <w:rPr>
                <w:rFonts w:ascii="Times New Roman" w:eastAsiaTheme="minorHAnsi" w:hAnsi="Times New Roman"/>
                <w:sz w:val="24"/>
                <w:szCs w:val="24"/>
                <w:lang w:eastAsia="en-US"/>
              </w:rPr>
              <w:t>В2</w:t>
            </w:r>
          </w:p>
        </w:tc>
        <w:tc>
          <w:tcPr>
            <w:tcW w:w="1845" w:type="dxa"/>
            <w:tcBorders>
              <w:top w:val="nil"/>
              <w:left w:val="single" w:sz="4" w:space="0" w:color="auto"/>
              <w:bottom w:val="single" w:sz="8" w:space="0" w:color="auto"/>
              <w:right w:val="single" w:sz="8" w:space="0" w:color="auto"/>
            </w:tcBorders>
            <w:vAlign w:val="center"/>
            <w:hideMark/>
          </w:tcPr>
          <w:p w14:paraId="10868DDD" w14:textId="77777777" w:rsidR="000C1E0E" w:rsidRDefault="000C1E0E" w:rsidP="0098752B">
            <w:pPr>
              <w:spacing w:after="200" w:line="360" w:lineRule="auto"/>
              <w:jc w:val="center"/>
              <w:rPr>
                <w:rFonts w:ascii="Times New Roman" w:eastAsiaTheme="minorHAnsi" w:hAnsi="Times New Roman"/>
                <w:sz w:val="24"/>
                <w:szCs w:val="24"/>
                <w:lang w:eastAsia="en-US"/>
              </w:rPr>
            </w:pPr>
            <w:r>
              <w:rPr>
                <w:rFonts w:ascii="Times New Roman" w:eastAsiaTheme="minorHAnsi" w:hAnsi="Times New Roman"/>
                <w:sz w:val="24"/>
                <w:szCs w:val="24"/>
                <w:lang w:eastAsia="en-US"/>
              </w:rPr>
              <w:t>В</w:t>
            </w:r>
          </w:p>
        </w:tc>
        <w:tc>
          <w:tcPr>
            <w:tcW w:w="1845" w:type="dxa"/>
            <w:tcBorders>
              <w:top w:val="nil"/>
              <w:left w:val="nil"/>
              <w:bottom w:val="single" w:sz="8" w:space="0" w:color="auto"/>
              <w:right w:val="single" w:sz="8" w:space="0" w:color="auto"/>
            </w:tcBorders>
            <w:vAlign w:val="center"/>
            <w:hideMark/>
          </w:tcPr>
          <w:p w14:paraId="14FD225E" w14:textId="77777777" w:rsidR="000C1E0E" w:rsidRDefault="000C1E0E" w:rsidP="0098752B">
            <w:pPr>
              <w:spacing w:after="200" w:line="360" w:lineRule="auto"/>
              <w:jc w:val="center"/>
              <w:rPr>
                <w:rFonts w:ascii="Times New Roman" w:eastAsiaTheme="minorHAnsi" w:hAnsi="Times New Roman"/>
                <w:sz w:val="24"/>
                <w:szCs w:val="24"/>
                <w:lang w:eastAsia="en-US"/>
              </w:rPr>
            </w:pPr>
            <w:r>
              <w:rPr>
                <w:rFonts w:ascii="Times New Roman" w:eastAsiaTheme="minorHAnsi" w:hAnsi="Times New Roman"/>
                <w:sz w:val="24"/>
                <w:szCs w:val="24"/>
                <w:lang w:eastAsia="en-US"/>
              </w:rPr>
              <w:t>В</w:t>
            </w:r>
          </w:p>
        </w:tc>
        <w:tc>
          <w:tcPr>
            <w:tcW w:w="0" w:type="auto"/>
            <w:vMerge/>
            <w:tcBorders>
              <w:top w:val="nil"/>
              <w:left w:val="single" w:sz="8" w:space="0" w:color="auto"/>
              <w:bottom w:val="single" w:sz="8" w:space="0" w:color="000000"/>
              <w:right w:val="single" w:sz="8" w:space="0" w:color="auto"/>
            </w:tcBorders>
            <w:vAlign w:val="center"/>
            <w:hideMark/>
          </w:tcPr>
          <w:p w14:paraId="4E1C23C6" w14:textId="77777777" w:rsidR="000C1E0E" w:rsidRDefault="000C1E0E" w:rsidP="0098752B">
            <w:pPr>
              <w:spacing w:line="240" w:lineRule="auto"/>
              <w:jc w:val="left"/>
              <w:rPr>
                <w:rFonts w:ascii="Times New Roman" w:eastAsiaTheme="minorHAnsi" w:hAnsi="Times New Roman"/>
                <w:b/>
                <w:bCs/>
                <w:sz w:val="24"/>
                <w:szCs w:val="24"/>
                <w:lang w:val="en-US" w:eastAsia="en-US"/>
              </w:rPr>
            </w:pPr>
          </w:p>
        </w:tc>
      </w:tr>
      <w:tr w:rsidR="000C1E0E" w14:paraId="2385CF65" w14:textId="77777777" w:rsidTr="0098752B">
        <w:trPr>
          <w:trHeight w:val="345"/>
          <w:jc w:val="center"/>
        </w:trPr>
        <w:tc>
          <w:tcPr>
            <w:tcW w:w="1845" w:type="dxa"/>
            <w:tcBorders>
              <w:top w:val="single" w:sz="4" w:space="0" w:color="auto"/>
              <w:left w:val="single" w:sz="4" w:space="0" w:color="auto"/>
              <w:bottom w:val="single" w:sz="4" w:space="0" w:color="auto"/>
              <w:right w:val="single" w:sz="4" w:space="0" w:color="auto"/>
            </w:tcBorders>
            <w:vAlign w:val="center"/>
            <w:hideMark/>
          </w:tcPr>
          <w:p w14:paraId="01267949" w14:textId="77777777" w:rsidR="000C1E0E" w:rsidRDefault="000C1E0E" w:rsidP="0098752B">
            <w:pPr>
              <w:spacing w:after="200" w:line="360" w:lineRule="auto"/>
              <w:jc w:val="center"/>
              <w:rPr>
                <w:rFonts w:ascii="Times New Roman" w:eastAsiaTheme="minorHAnsi" w:hAnsi="Times New Roman"/>
                <w:sz w:val="24"/>
                <w:szCs w:val="24"/>
                <w:lang w:eastAsia="en-US"/>
              </w:rPr>
            </w:pPr>
            <w:r>
              <w:rPr>
                <w:rFonts w:ascii="Times New Roman" w:eastAsiaTheme="minorHAnsi" w:hAnsi="Times New Roman"/>
                <w:sz w:val="24"/>
                <w:szCs w:val="24"/>
                <w:lang w:eastAsia="en-US"/>
              </w:rPr>
              <w:t>B3</w:t>
            </w:r>
          </w:p>
        </w:tc>
        <w:tc>
          <w:tcPr>
            <w:tcW w:w="1845" w:type="dxa"/>
            <w:tcBorders>
              <w:top w:val="nil"/>
              <w:left w:val="single" w:sz="4" w:space="0" w:color="auto"/>
              <w:bottom w:val="single" w:sz="8" w:space="0" w:color="auto"/>
              <w:right w:val="single" w:sz="8" w:space="0" w:color="auto"/>
            </w:tcBorders>
            <w:vAlign w:val="center"/>
            <w:hideMark/>
          </w:tcPr>
          <w:p w14:paraId="3C078E22" w14:textId="77777777" w:rsidR="000C1E0E" w:rsidRDefault="000C1E0E" w:rsidP="0098752B">
            <w:pPr>
              <w:spacing w:after="200" w:line="360" w:lineRule="auto"/>
              <w:jc w:val="center"/>
              <w:rPr>
                <w:rFonts w:ascii="Times New Roman" w:eastAsiaTheme="minorHAnsi" w:hAnsi="Times New Roman"/>
                <w:sz w:val="24"/>
                <w:szCs w:val="24"/>
                <w:lang w:eastAsia="en-US"/>
              </w:rPr>
            </w:pPr>
            <w:r>
              <w:rPr>
                <w:rFonts w:ascii="Times New Roman" w:eastAsiaTheme="minorHAnsi" w:hAnsi="Times New Roman"/>
                <w:sz w:val="24"/>
                <w:szCs w:val="24"/>
                <w:lang w:eastAsia="en-US"/>
              </w:rPr>
              <w:t>B-</w:t>
            </w:r>
          </w:p>
        </w:tc>
        <w:tc>
          <w:tcPr>
            <w:tcW w:w="1845" w:type="dxa"/>
            <w:tcBorders>
              <w:top w:val="nil"/>
              <w:left w:val="nil"/>
              <w:bottom w:val="single" w:sz="8" w:space="0" w:color="auto"/>
              <w:right w:val="single" w:sz="8" w:space="0" w:color="auto"/>
            </w:tcBorders>
            <w:vAlign w:val="center"/>
            <w:hideMark/>
          </w:tcPr>
          <w:p w14:paraId="08E47311" w14:textId="77777777" w:rsidR="000C1E0E" w:rsidRDefault="000C1E0E" w:rsidP="0098752B">
            <w:pPr>
              <w:spacing w:after="200" w:line="360" w:lineRule="auto"/>
              <w:jc w:val="center"/>
              <w:rPr>
                <w:rFonts w:ascii="Times New Roman" w:eastAsiaTheme="minorHAnsi" w:hAnsi="Times New Roman"/>
                <w:sz w:val="24"/>
                <w:szCs w:val="24"/>
                <w:lang w:eastAsia="en-US"/>
              </w:rPr>
            </w:pPr>
            <w:r>
              <w:rPr>
                <w:rFonts w:ascii="Times New Roman" w:eastAsiaTheme="minorHAnsi" w:hAnsi="Times New Roman"/>
                <w:sz w:val="24"/>
                <w:szCs w:val="24"/>
                <w:lang w:eastAsia="en-US"/>
              </w:rPr>
              <w:t>B-</w:t>
            </w:r>
          </w:p>
        </w:tc>
        <w:tc>
          <w:tcPr>
            <w:tcW w:w="0" w:type="auto"/>
            <w:vMerge/>
            <w:tcBorders>
              <w:top w:val="nil"/>
              <w:left w:val="single" w:sz="8" w:space="0" w:color="auto"/>
              <w:bottom w:val="single" w:sz="8" w:space="0" w:color="000000"/>
              <w:right w:val="single" w:sz="8" w:space="0" w:color="auto"/>
            </w:tcBorders>
            <w:vAlign w:val="center"/>
            <w:hideMark/>
          </w:tcPr>
          <w:p w14:paraId="3F1F0168" w14:textId="77777777" w:rsidR="000C1E0E" w:rsidRDefault="000C1E0E" w:rsidP="0098752B">
            <w:pPr>
              <w:spacing w:line="240" w:lineRule="auto"/>
              <w:jc w:val="left"/>
              <w:rPr>
                <w:rFonts w:ascii="Times New Roman" w:eastAsiaTheme="minorHAnsi" w:hAnsi="Times New Roman"/>
                <w:b/>
                <w:bCs/>
                <w:sz w:val="24"/>
                <w:szCs w:val="24"/>
                <w:lang w:val="en-US" w:eastAsia="en-US"/>
              </w:rPr>
            </w:pPr>
          </w:p>
        </w:tc>
      </w:tr>
      <w:tr w:rsidR="000C1E0E" w14:paraId="24BB0A36" w14:textId="77777777" w:rsidTr="0098752B">
        <w:trPr>
          <w:trHeight w:val="345"/>
          <w:jc w:val="center"/>
        </w:trPr>
        <w:tc>
          <w:tcPr>
            <w:tcW w:w="5535" w:type="dxa"/>
            <w:gridSpan w:val="3"/>
            <w:tcBorders>
              <w:top w:val="single" w:sz="8" w:space="0" w:color="auto"/>
              <w:left w:val="single" w:sz="8" w:space="0" w:color="auto"/>
              <w:bottom w:val="single" w:sz="8" w:space="0" w:color="auto"/>
              <w:right w:val="single" w:sz="8" w:space="0" w:color="000000"/>
            </w:tcBorders>
            <w:vAlign w:val="center"/>
            <w:hideMark/>
          </w:tcPr>
          <w:p w14:paraId="5F721CA6" w14:textId="77777777" w:rsidR="000C1E0E" w:rsidRDefault="000C1E0E" w:rsidP="0098752B">
            <w:pPr>
              <w:spacing w:after="200" w:line="360" w:lineRule="auto"/>
              <w:jc w:val="center"/>
              <w:rPr>
                <w:rFonts w:ascii="Times New Roman" w:eastAsiaTheme="minorHAnsi" w:hAnsi="Times New Roman"/>
                <w:sz w:val="24"/>
                <w:szCs w:val="24"/>
                <w:lang w:eastAsia="en-US"/>
              </w:rPr>
            </w:pPr>
            <w:r>
              <w:rPr>
                <w:rFonts w:ascii="Times New Roman" w:eastAsiaTheme="minorHAnsi" w:hAnsi="Times New Roman"/>
                <w:sz w:val="24"/>
                <w:szCs w:val="24"/>
                <w:lang w:eastAsia="en-US"/>
              </w:rPr>
              <w:t>Более низкий рейтинг / рейтинг отсутствует</w:t>
            </w:r>
          </w:p>
        </w:tc>
        <w:tc>
          <w:tcPr>
            <w:tcW w:w="1577" w:type="dxa"/>
            <w:tcBorders>
              <w:top w:val="nil"/>
              <w:left w:val="nil"/>
              <w:bottom w:val="single" w:sz="8" w:space="0" w:color="auto"/>
              <w:right w:val="single" w:sz="8" w:space="0" w:color="auto"/>
            </w:tcBorders>
            <w:noWrap/>
            <w:vAlign w:val="center"/>
            <w:hideMark/>
          </w:tcPr>
          <w:p w14:paraId="37C1E6AB" w14:textId="77777777" w:rsidR="000C1E0E" w:rsidRDefault="000C1E0E" w:rsidP="0098752B">
            <w:pPr>
              <w:spacing w:after="200" w:line="360" w:lineRule="auto"/>
              <w:jc w:val="center"/>
              <w:rPr>
                <w:rFonts w:ascii="Times New Roman" w:eastAsiaTheme="minorHAnsi" w:hAnsi="Times New Roman"/>
                <w:b/>
                <w:bCs/>
                <w:sz w:val="24"/>
                <w:szCs w:val="24"/>
                <w:lang w:val="en-US" w:eastAsia="en-US"/>
              </w:rPr>
            </w:pPr>
            <w:r>
              <w:rPr>
                <w:rFonts w:ascii="Times New Roman" w:eastAsiaTheme="minorHAnsi" w:hAnsi="Times New Roman"/>
                <w:b/>
                <w:bCs/>
                <w:sz w:val="24"/>
                <w:szCs w:val="24"/>
                <w:lang w:eastAsia="en-US"/>
              </w:rPr>
              <w:t>Рейтинговая группа I</w:t>
            </w:r>
            <w:r>
              <w:rPr>
                <w:rFonts w:ascii="Times New Roman" w:eastAsiaTheme="minorHAnsi" w:hAnsi="Times New Roman"/>
                <w:b/>
                <w:bCs/>
                <w:sz w:val="24"/>
                <w:szCs w:val="24"/>
                <w:lang w:val="en-US" w:eastAsia="en-US"/>
              </w:rPr>
              <w:t>V</w:t>
            </w:r>
          </w:p>
        </w:tc>
      </w:tr>
    </w:tbl>
    <w:p w14:paraId="36837629" w14:textId="77777777" w:rsidR="000C1E0E" w:rsidRDefault="000C1E0E" w:rsidP="000C1E0E">
      <w:pPr>
        <w:autoSpaceDE w:val="0"/>
        <w:autoSpaceDN w:val="0"/>
        <w:adjustRightInd w:val="0"/>
        <w:spacing w:after="200" w:line="360" w:lineRule="auto"/>
        <w:jc w:val="left"/>
        <w:rPr>
          <w:rFonts w:ascii="Times New Roman" w:eastAsiaTheme="minorHAnsi" w:hAnsi="Times New Roman"/>
          <w:sz w:val="24"/>
          <w:szCs w:val="24"/>
          <w:lang w:eastAsia="en-US"/>
        </w:rPr>
      </w:pPr>
    </w:p>
    <w:p w14:paraId="6C58D3BD" w14:textId="77777777" w:rsidR="000C1E0E" w:rsidRDefault="000C1E0E" w:rsidP="000C1E0E">
      <w:pPr>
        <w:autoSpaceDE w:val="0"/>
        <w:autoSpaceDN w:val="0"/>
        <w:adjustRightInd w:val="0"/>
        <w:spacing w:after="200" w:line="360" w:lineRule="auto"/>
        <w:ind w:left="426"/>
        <w:jc w:val="left"/>
        <w:rPr>
          <w:rFonts w:ascii="Times New Roman" w:eastAsiaTheme="minorHAnsi" w:hAnsi="Times New Roman"/>
          <w:sz w:val="24"/>
          <w:szCs w:val="24"/>
          <w:lang w:eastAsia="en-US"/>
        </w:rPr>
      </w:pPr>
      <w:r>
        <w:rPr>
          <w:rFonts w:ascii="Times New Roman" w:eastAsiaTheme="minorHAnsi" w:hAnsi="Times New Roman"/>
          <w:sz w:val="24"/>
          <w:szCs w:val="24"/>
          <w:lang w:eastAsia="en-US"/>
        </w:rPr>
        <w:t xml:space="preserve">Для целей настоящей методики выделяются следующие </w:t>
      </w:r>
      <w:r>
        <w:rPr>
          <w:rFonts w:ascii="Times New Roman" w:eastAsiaTheme="minorHAnsi" w:hAnsi="Times New Roman"/>
          <w:b/>
          <w:sz w:val="24"/>
          <w:szCs w:val="24"/>
          <w:lang w:eastAsia="en-US"/>
        </w:rPr>
        <w:t>агрегированные секторы</w:t>
      </w:r>
      <w:r>
        <w:rPr>
          <w:rFonts w:ascii="Times New Roman" w:eastAsiaTheme="minorHAnsi" w:hAnsi="Times New Roman"/>
          <w:sz w:val="24"/>
          <w:szCs w:val="24"/>
          <w:lang w:eastAsia="en-US"/>
        </w:rPr>
        <w:t xml:space="preserve"> </w:t>
      </w:r>
      <w:r>
        <w:rPr>
          <w:rFonts w:ascii="Times New Roman" w:eastAsiaTheme="minorHAnsi" w:hAnsi="Times New Roman"/>
          <w:b/>
          <w:sz w:val="24"/>
          <w:szCs w:val="24"/>
          <w:lang w:eastAsia="en-US"/>
        </w:rPr>
        <w:t>экономики:</w:t>
      </w:r>
      <w:r>
        <w:rPr>
          <w:rFonts w:ascii="Times New Roman" w:eastAsiaTheme="minorHAnsi" w:hAnsi="Times New Roman"/>
          <w:sz w:val="24"/>
          <w:szCs w:val="24"/>
          <w:lang w:eastAsia="en-US"/>
        </w:rPr>
        <w:t xml:space="preserve"> </w:t>
      </w:r>
    </w:p>
    <w:p w14:paraId="26BFF97D" w14:textId="77777777" w:rsidR="000C1E0E" w:rsidRDefault="000C1E0E" w:rsidP="000C1E0E">
      <w:pPr>
        <w:numPr>
          <w:ilvl w:val="0"/>
          <w:numId w:val="14"/>
        </w:numPr>
        <w:autoSpaceDE w:val="0"/>
        <w:autoSpaceDN w:val="0"/>
        <w:adjustRightInd w:val="0"/>
        <w:spacing w:after="200" w:line="360" w:lineRule="auto"/>
        <w:contextualSpacing/>
        <w:jc w:val="left"/>
        <w:rPr>
          <w:rFonts w:ascii="Times New Roman" w:eastAsia="Calibri" w:hAnsi="Times New Roman"/>
          <w:sz w:val="24"/>
          <w:szCs w:val="24"/>
          <w:lang w:eastAsia="en-US"/>
        </w:rPr>
      </w:pPr>
      <w:r>
        <w:rPr>
          <w:rFonts w:ascii="Times New Roman" w:eastAsia="Calibri" w:hAnsi="Times New Roman"/>
          <w:sz w:val="24"/>
          <w:szCs w:val="24"/>
          <w:lang w:eastAsia="en-US"/>
        </w:rPr>
        <w:t xml:space="preserve">финансовый сектор, </w:t>
      </w:r>
    </w:p>
    <w:p w14:paraId="2DD3059B" w14:textId="77777777" w:rsidR="000C1E0E" w:rsidRDefault="000C1E0E" w:rsidP="000C1E0E">
      <w:pPr>
        <w:numPr>
          <w:ilvl w:val="0"/>
          <w:numId w:val="14"/>
        </w:numPr>
        <w:autoSpaceDE w:val="0"/>
        <w:autoSpaceDN w:val="0"/>
        <w:adjustRightInd w:val="0"/>
        <w:spacing w:after="200" w:line="360" w:lineRule="auto"/>
        <w:contextualSpacing/>
        <w:jc w:val="left"/>
        <w:rPr>
          <w:rFonts w:ascii="Times New Roman" w:eastAsia="Calibri" w:hAnsi="Times New Roman"/>
          <w:sz w:val="24"/>
          <w:szCs w:val="24"/>
          <w:lang w:eastAsia="en-US"/>
        </w:rPr>
      </w:pPr>
      <w:r>
        <w:rPr>
          <w:rFonts w:ascii="Times New Roman" w:eastAsia="Calibri" w:hAnsi="Times New Roman"/>
          <w:sz w:val="24"/>
          <w:szCs w:val="24"/>
          <w:lang w:eastAsia="en-US"/>
        </w:rPr>
        <w:t xml:space="preserve">сектор региональных и муниципальных выпусков; </w:t>
      </w:r>
    </w:p>
    <w:p w14:paraId="138AD2F1" w14:textId="77777777" w:rsidR="000C1E0E" w:rsidRDefault="000C1E0E" w:rsidP="000C1E0E">
      <w:pPr>
        <w:numPr>
          <w:ilvl w:val="0"/>
          <w:numId w:val="14"/>
        </w:numPr>
        <w:autoSpaceDE w:val="0"/>
        <w:autoSpaceDN w:val="0"/>
        <w:adjustRightInd w:val="0"/>
        <w:spacing w:after="200" w:line="360" w:lineRule="auto"/>
        <w:contextualSpacing/>
        <w:jc w:val="left"/>
        <w:rPr>
          <w:rFonts w:ascii="Times New Roman" w:eastAsia="Calibri" w:hAnsi="Times New Roman"/>
          <w:sz w:val="24"/>
          <w:szCs w:val="24"/>
          <w:lang w:eastAsia="en-US"/>
        </w:rPr>
      </w:pPr>
      <w:r>
        <w:rPr>
          <w:rFonts w:ascii="Times New Roman" w:eastAsia="Calibri" w:hAnsi="Times New Roman"/>
          <w:sz w:val="24"/>
          <w:szCs w:val="24"/>
          <w:lang w:eastAsia="en-US"/>
        </w:rPr>
        <w:t xml:space="preserve">корпоративный сектор; </w:t>
      </w:r>
    </w:p>
    <w:p w14:paraId="4FCB33E7" w14:textId="77777777" w:rsidR="000C1E0E" w:rsidRDefault="000C1E0E" w:rsidP="000C1E0E">
      <w:pPr>
        <w:numPr>
          <w:ilvl w:val="0"/>
          <w:numId w:val="14"/>
        </w:numPr>
        <w:autoSpaceDE w:val="0"/>
        <w:autoSpaceDN w:val="0"/>
        <w:adjustRightInd w:val="0"/>
        <w:spacing w:after="200" w:line="360" w:lineRule="auto"/>
        <w:contextualSpacing/>
        <w:jc w:val="left"/>
        <w:rPr>
          <w:rFonts w:ascii="Times New Roman" w:eastAsia="Calibri" w:hAnsi="Times New Roman"/>
          <w:sz w:val="24"/>
          <w:szCs w:val="24"/>
          <w:lang w:eastAsia="en-US"/>
        </w:rPr>
      </w:pPr>
      <w:r>
        <w:rPr>
          <w:rFonts w:ascii="Times New Roman" w:eastAsia="Calibri" w:hAnsi="Times New Roman"/>
          <w:sz w:val="24"/>
          <w:szCs w:val="24"/>
          <w:lang w:eastAsia="en-US"/>
        </w:rPr>
        <w:t>сектор государственных ценных бумаг.</w:t>
      </w:r>
    </w:p>
    <w:p w14:paraId="41930247" w14:textId="77777777" w:rsidR="000C1E0E" w:rsidRDefault="000C1E0E" w:rsidP="000C1E0E">
      <w:pPr>
        <w:autoSpaceDE w:val="0"/>
        <w:autoSpaceDN w:val="0"/>
        <w:adjustRightInd w:val="0"/>
        <w:spacing w:after="200" w:line="360" w:lineRule="auto"/>
        <w:ind w:left="426"/>
        <w:jc w:val="left"/>
        <w:rPr>
          <w:rFonts w:ascii="Times New Roman" w:eastAsiaTheme="minorHAnsi" w:hAnsi="Times New Roman"/>
          <w:sz w:val="24"/>
          <w:szCs w:val="24"/>
          <w:lang w:eastAsia="en-US"/>
        </w:rPr>
      </w:pPr>
      <w:r>
        <w:rPr>
          <w:rFonts w:ascii="Times New Roman" w:eastAsiaTheme="minorHAnsi" w:hAnsi="Times New Roman"/>
          <w:sz w:val="24"/>
          <w:szCs w:val="24"/>
          <w:lang w:eastAsia="en-US"/>
        </w:rPr>
        <w:t>Кредитный спред по каждому аналогу рассчитывается в следующем порядке:</w:t>
      </w:r>
    </w:p>
    <w:p w14:paraId="3FCB4412" w14:textId="77777777" w:rsidR="000C1E0E" w:rsidRDefault="000C1E0E" w:rsidP="000C1E0E">
      <w:pPr>
        <w:autoSpaceDE w:val="0"/>
        <w:autoSpaceDN w:val="0"/>
        <w:adjustRightInd w:val="0"/>
        <w:spacing w:after="200" w:line="360" w:lineRule="auto"/>
        <w:ind w:left="426"/>
        <w:jc w:val="left"/>
        <w:rPr>
          <w:rFonts w:ascii="Times New Roman" w:eastAsiaTheme="minorHAnsi" w:hAnsi="Times New Roman"/>
          <w:sz w:val="24"/>
          <w:szCs w:val="24"/>
          <w:lang w:eastAsia="en-US"/>
        </w:rPr>
      </w:pPr>
    </w:p>
    <w:p w14:paraId="73FF3E0D" w14:textId="77777777" w:rsidR="000C1E0E" w:rsidRDefault="00C74876" w:rsidP="000C1E0E">
      <w:pPr>
        <w:autoSpaceDE w:val="0"/>
        <w:autoSpaceDN w:val="0"/>
        <w:adjustRightInd w:val="0"/>
        <w:spacing w:after="200" w:line="360" w:lineRule="auto"/>
        <w:ind w:left="426"/>
        <w:jc w:val="left"/>
        <w:rPr>
          <w:rFonts w:ascii="Times New Roman" w:eastAsiaTheme="minorEastAsia" w:hAnsi="Times New Roman"/>
          <w:i/>
          <w:sz w:val="24"/>
          <w:szCs w:val="24"/>
          <w:lang w:val="en-US" w:eastAsia="en-US"/>
        </w:rPr>
      </w:pPr>
      <m:oMathPara>
        <m:oMath>
          <m:sSub>
            <m:sSubPr>
              <m:ctrlPr>
                <w:rPr>
                  <w:rFonts w:ascii="Cambria Math" w:eastAsiaTheme="minorHAnsi" w:hAnsi="Cambria Math"/>
                  <w:i/>
                  <w:sz w:val="24"/>
                  <w:szCs w:val="24"/>
                  <w:lang w:eastAsia="en-US"/>
                </w:rPr>
              </m:ctrlPr>
            </m:sSubPr>
            <m:e>
              <m:r>
                <w:rPr>
                  <w:rFonts w:ascii="Cambria Math" w:eastAsiaTheme="minorHAnsi" w:hAnsi="Cambria Math"/>
                  <w:sz w:val="24"/>
                  <w:szCs w:val="24"/>
                  <w:lang w:eastAsia="en-US"/>
                </w:rPr>
                <m:t>CrSpread</m:t>
              </m:r>
            </m:e>
            <m:sub>
              <m:r>
                <w:rPr>
                  <w:rFonts w:ascii="Cambria Math" w:eastAsiaTheme="minorHAnsi" w:hAnsi="Cambria Math"/>
                  <w:sz w:val="24"/>
                  <w:szCs w:val="24"/>
                  <w:lang w:val="en-US" w:eastAsia="en-US"/>
                </w:rPr>
                <m:t>i</m:t>
              </m:r>
            </m:sub>
          </m:sSub>
          <m:r>
            <w:rPr>
              <w:rFonts w:ascii="Cambria Math" w:eastAsiaTheme="minorHAnsi" w:hAnsi="Times New Roman"/>
              <w:sz w:val="24"/>
              <w:szCs w:val="24"/>
              <w:lang w:eastAsia="en-US"/>
            </w:rPr>
            <m:t>=</m:t>
          </m:r>
          <m:sSub>
            <m:sSubPr>
              <m:ctrlPr>
                <w:rPr>
                  <w:rFonts w:ascii="Cambria Math" w:eastAsiaTheme="minorHAnsi" w:hAnsi="Cambria Math"/>
                  <w:i/>
                  <w:sz w:val="24"/>
                  <w:szCs w:val="24"/>
                  <w:lang w:eastAsia="en-US"/>
                </w:rPr>
              </m:ctrlPr>
            </m:sSubPr>
            <m:e>
              <m:r>
                <w:rPr>
                  <w:rFonts w:ascii="Cambria Math" w:eastAsiaTheme="minorHAnsi" w:hAnsi="Cambria Math"/>
                  <w:sz w:val="24"/>
                  <w:szCs w:val="24"/>
                  <w:lang w:eastAsia="en-US"/>
                </w:rPr>
                <m:t>YTM</m:t>
              </m:r>
            </m:e>
            <m:sub>
              <m:r>
                <w:rPr>
                  <w:rFonts w:ascii="Cambria Math" w:eastAsiaTheme="minorHAnsi" w:hAnsi="Cambria Math"/>
                  <w:sz w:val="24"/>
                  <w:szCs w:val="24"/>
                  <w:lang w:eastAsia="en-US"/>
                </w:rPr>
                <m:t>i</m:t>
              </m:r>
            </m:sub>
          </m:sSub>
          <m:r>
            <w:rPr>
              <w:rFonts w:ascii="Cambria Math" w:eastAsiaTheme="minorHAnsi" w:hAnsi="Cambria Math"/>
              <w:sz w:val="24"/>
              <w:szCs w:val="24"/>
              <w:lang w:eastAsia="en-US"/>
            </w:rPr>
            <m:t>-</m:t>
          </m:r>
          <m:sSub>
            <m:sSubPr>
              <m:ctrlPr>
                <w:rPr>
                  <w:rFonts w:ascii="Cambria Math" w:eastAsiaTheme="minorHAnsi" w:hAnsi="Cambria Math"/>
                  <w:i/>
                  <w:sz w:val="24"/>
                  <w:szCs w:val="24"/>
                  <w:lang w:eastAsia="en-US"/>
                </w:rPr>
              </m:ctrlPr>
            </m:sSubPr>
            <m:e>
              <m:r>
                <w:rPr>
                  <w:rFonts w:ascii="Cambria Math" w:eastAsiaTheme="minorHAnsi" w:hAnsi="Cambria Math"/>
                  <w:sz w:val="24"/>
                  <w:szCs w:val="24"/>
                  <w:lang w:eastAsia="en-US"/>
                </w:rPr>
                <m:t>r</m:t>
              </m:r>
            </m:e>
            <m:sub>
              <m:r>
                <w:rPr>
                  <w:rFonts w:ascii="Cambria Math" w:eastAsiaTheme="minorHAnsi" w:hAnsi="Cambria Math"/>
                  <w:sz w:val="24"/>
                  <w:szCs w:val="24"/>
                  <w:lang w:eastAsia="en-US"/>
                </w:rPr>
                <m:t>i</m:t>
              </m:r>
            </m:sub>
          </m:sSub>
        </m:oMath>
      </m:oMathPara>
    </w:p>
    <w:p w14:paraId="21FC7EEC" w14:textId="77777777" w:rsidR="000C1E0E" w:rsidRDefault="000C1E0E" w:rsidP="000C1E0E">
      <w:pPr>
        <w:autoSpaceDE w:val="0"/>
        <w:autoSpaceDN w:val="0"/>
        <w:adjustRightInd w:val="0"/>
        <w:spacing w:after="200" w:line="360" w:lineRule="auto"/>
        <w:ind w:left="426"/>
        <w:jc w:val="left"/>
        <w:rPr>
          <w:rFonts w:ascii="Times New Roman" w:eastAsiaTheme="minorHAnsi" w:hAnsi="Times New Roman"/>
          <w:sz w:val="24"/>
          <w:szCs w:val="24"/>
          <w:lang w:eastAsia="en-US"/>
        </w:rPr>
      </w:pPr>
      <w:r>
        <w:rPr>
          <w:rFonts w:ascii="Times New Roman" w:eastAsiaTheme="minorHAnsi" w:hAnsi="Times New Roman"/>
          <w:sz w:val="24"/>
          <w:szCs w:val="24"/>
          <w:lang w:eastAsia="en-US"/>
        </w:rPr>
        <w:t>где,</w:t>
      </w:r>
    </w:p>
    <w:p w14:paraId="6E9DE37F" w14:textId="77777777" w:rsidR="000C1E0E" w:rsidRDefault="00C74876" w:rsidP="000C1E0E">
      <w:pPr>
        <w:autoSpaceDE w:val="0"/>
        <w:autoSpaceDN w:val="0"/>
        <w:adjustRightInd w:val="0"/>
        <w:spacing w:after="200" w:line="360" w:lineRule="auto"/>
        <w:ind w:left="426"/>
        <w:jc w:val="left"/>
        <w:rPr>
          <w:rFonts w:ascii="Times New Roman" w:eastAsiaTheme="minorHAnsi" w:hAnsi="Times New Roman"/>
          <w:sz w:val="24"/>
          <w:szCs w:val="24"/>
          <w:lang w:eastAsia="en-US"/>
        </w:rPr>
      </w:pPr>
      <m:oMath>
        <m:sSub>
          <m:sSubPr>
            <m:ctrlPr>
              <w:rPr>
                <w:rFonts w:ascii="Cambria Math" w:eastAsiaTheme="minorHAnsi" w:hAnsi="Cambria Math"/>
                <w:sz w:val="24"/>
                <w:szCs w:val="24"/>
                <w:lang w:eastAsia="en-US"/>
              </w:rPr>
            </m:ctrlPr>
          </m:sSubPr>
          <m:e>
            <m:r>
              <w:rPr>
                <w:rFonts w:ascii="Cambria Math" w:eastAsiaTheme="minorHAnsi" w:hAnsi="Cambria Math"/>
                <w:sz w:val="24"/>
                <w:szCs w:val="24"/>
                <w:lang w:eastAsia="en-US"/>
              </w:rPr>
              <m:t>YTM</m:t>
            </m:r>
          </m:e>
          <m:sub>
            <m:r>
              <w:rPr>
                <w:rFonts w:ascii="Cambria Math" w:eastAsiaTheme="minorHAnsi" w:hAnsi="Cambria Math"/>
                <w:sz w:val="24"/>
                <w:szCs w:val="24"/>
                <w:lang w:eastAsia="en-US"/>
              </w:rPr>
              <m:t>i</m:t>
            </m:r>
          </m:sub>
        </m:sSub>
      </m:oMath>
      <w:r w:rsidR="000C1E0E">
        <w:rPr>
          <w:rFonts w:ascii="Times New Roman" w:eastAsiaTheme="minorHAnsi" w:hAnsi="Times New Roman"/>
          <w:sz w:val="24"/>
          <w:szCs w:val="24"/>
          <w:lang w:eastAsia="en-US"/>
        </w:rPr>
        <w:t xml:space="preserve"> – доходность к погашению/оферте i-ого аналога по цене закрытия;</w:t>
      </w:r>
    </w:p>
    <w:p w14:paraId="3A2D6F15" w14:textId="77777777" w:rsidR="000C1E0E" w:rsidRDefault="00C74876" w:rsidP="000C1E0E">
      <w:pPr>
        <w:spacing w:after="200" w:line="360" w:lineRule="auto"/>
        <w:ind w:left="426"/>
        <w:rPr>
          <w:rFonts w:ascii="Times New Roman" w:eastAsiaTheme="minorHAnsi" w:hAnsi="Times New Roman"/>
          <w:sz w:val="24"/>
          <w:szCs w:val="24"/>
          <w:lang w:eastAsia="en-US"/>
        </w:rPr>
      </w:pPr>
      <m:oMath>
        <m:sSub>
          <m:sSubPr>
            <m:ctrlPr>
              <w:rPr>
                <w:rFonts w:ascii="Cambria Math" w:eastAsiaTheme="minorHAnsi" w:hAnsi="Cambria Math"/>
                <w:sz w:val="24"/>
                <w:szCs w:val="24"/>
                <w:lang w:eastAsia="en-US"/>
              </w:rPr>
            </m:ctrlPr>
          </m:sSubPr>
          <m:e>
            <m:r>
              <w:rPr>
                <w:rFonts w:ascii="Cambria Math" w:eastAsiaTheme="minorHAnsi" w:hAnsi="Cambria Math"/>
                <w:sz w:val="24"/>
                <w:szCs w:val="24"/>
                <w:lang w:eastAsia="en-US"/>
              </w:rPr>
              <m:t>r</m:t>
            </m:r>
          </m:e>
          <m:sub>
            <m:r>
              <w:rPr>
                <w:rFonts w:ascii="Cambria Math" w:eastAsiaTheme="minorHAnsi" w:hAnsi="Cambria Math"/>
                <w:sz w:val="24"/>
                <w:szCs w:val="24"/>
                <w:lang w:eastAsia="en-US"/>
              </w:rPr>
              <m:t>i</m:t>
            </m:r>
          </m:sub>
        </m:sSub>
      </m:oMath>
      <w:r w:rsidR="000C1E0E">
        <w:rPr>
          <w:rFonts w:ascii="Times New Roman" w:eastAsiaTheme="minorHAnsi" w:hAnsi="Times New Roman"/>
          <w:sz w:val="24"/>
          <w:szCs w:val="24"/>
          <w:lang w:eastAsia="en-US"/>
        </w:rPr>
        <w:t xml:space="preserve"> – ставка кривой бескупонной доходности казначейских облигаций США, соответствующая дате погашения/оферты i-ого аналога. Ставка кривой бескупонной доходности казначейских облигаций США определяется с помощью функции «GC I25» информационно- аналитического агентства Bloomberg;</w:t>
      </w:r>
    </w:p>
    <w:p w14:paraId="7C0B3A56" w14:textId="77777777" w:rsidR="000C1E0E" w:rsidRDefault="000C1E0E" w:rsidP="007255FA">
      <w:pPr>
        <w:spacing w:line="360" w:lineRule="auto"/>
        <w:ind w:firstLine="426"/>
        <w:rPr>
          <w:rFonts w:ascii="Times New Roman" w:eastAsiaTheme="minorHAnsi" w:hAnsi="Times New Roman"/>
          <w:sz w:val="24"/>
          <w:szCs w:val="24"/>
          <w:lang w:eastAsia="en-US"/>
        </w:rPr>
      </w:pPr>
      <w:r>
        <w:rPr>
          <w:rFonts w:ascii="Times New Roman" w:eastAsiaTheme="minorHAnsi" w:hAnsi="Times New Roman"/>
          <w:sz w:val="24"/>
          <w:szCs w:val="24"/>
          <w:lang w:eastAsia="en-US"/>
        </w:rPr>
        <w:t xml:space="preserve">Медианный кредитный спред рассчитывается за последние 20 торговых дней на основании полученных кредитных спредов аналогов. При расчете значения медианного кредитного спреда промежуточные округления значений </w:t>
      </w:r>
      <m:oMath>
        <m:sSub>
          <m:sSubPr>
            <m:ctrlPr>
              <w:rPr>
                <w:rFonts w:ascii="Cambria Math" w:eastAsiaTheme="minorHAnsi" w:hAnsi="Cambria Math"/>
                <w:sz w:val="24"/>
                <w:szCs w:val="24"/>
                <w:lang w:eastAsia="en-US"/>
              </w:rPr>
            </m:ctrlPr>
          </m:sSubPr>
          <m:e>
            <m:r>
              <w:rPr>
                <w:rFonts w:ascii="Cambria Math" w:eastAsiaTheme="minorHAnsi" w:hAnsi="Cambria Math"/>
                <w:sz w:val="24"/>
                <w:szCs w:val="24"/>
                <w:lang w:eastAsia="en-US"/>
              </w:rPr>
              <m:t>CrSpread</m:t>
            </m:r>
          </m:e>
          <m:sub>
            <m:r>
              <w:rPr>
                <w:rFonts w:ascii="Cambria Math" w:eastAsiaTheme="minorHAnsi" w:hAnsi="Cambria Math"/>
                <w:sz w:val="24"/>
                <w:szCs w:val="24"/>
                <w:lang w:eastAsia="en-US"/>
              </w:rPr>
              <m:t>i</m:t>
            </m:r>
          </m:sub>
        </m:sSub>
      </m:oMath>
      <w:r>
        <w:rPr>
          <w:rFonts w:ascii="Times New Roman" w:eastAsiaTheme="minorHAnsi" w:hAnsi="Times New Roman"/>
          <w:sz w:val="24"/>
          <w:szCs w:val="24"/>
          <w:lang w:eastAsia="en-US"/>
        </w:rPr>
        <w:t xml:space="preserve"> не производятся, результат расчета округляется по правилам математического округления с точностью до 2 знаков после запятой.</w:t>
      </w:r>
    </w:p>
    <w:p w14:paraId="55CA00E8" w14:textId="77777777" w:rsidR="000C1E0E" w:rsidRDefault="000C1E0E" w:rsidP="007255FA">
      <w:pPr>
        <w:spacing w:line="360" w:lineRule="auto"/>
        <w:ind w:firstLine="426"/>
        <w:rPr>
          <w:rFonts w:ascii="Times New Roman" w:eastAsiaTheme="minorHAnsi" w:hAnsi="Times New Roman"/>
          <w:sz w:val="24"/>
          <w:szCs w:val="24"/>
          <w:lang w:eastAsia="en-US"/>
        </w:rPr>
      </w:pPr>
      <w:r>
        <w:rPr>
          <w:rFonts w:ascii="Times New Roman" w:eastAsiaTheme="minorHAnsi" w:hAnsi="Times New Roman"/>
          <w:sz w:val="24"/>
          <w:szCs w:val="24"/>
          <w:lang w:eastAsia="en-US"/>
        </w:rPr>
        <w:t xml:space="preserve">Для еврооблигаций, номинированных в рублях, используется без изменений модель для оценки стоимости российских облигаций на 3 уровне. </w:t>
      </w:r>
    </w:p>
    <w:p w14:paraId="0DBEB6A8" w14:textId="180D9C5A" w:rsidR="000C1E0E" w:rsidRDefault="000C1E0E" w:rsidP="007255FA">
      <w:pPr>
        <w:spacing w:line="240" w:lineRule="auto"/>
        <w:jc w:val="right"/>
        <w:rPr>
          <w:rFonts w:ascii="Times New Roman" w:eastAsia="Calibri" w:hAnsi="Times New Roman"/>
          <w:sz w:val="24"/>
          <w:szCs w:val="24"/>
        </w:rPr>
      </w:pPr>
      <w:r>
        <w:rPr>
          <w:rFonts w:ascii="Times New Roman" w:eastAsiaTheme="minorHAnsi" w:hAnsi="Times New Roman"/>
          <w:sz w:val="24"/>
          <w:szCs w:val="24"/>
          <w:lang w:eastAsia="en-US"/>
        </w:rPr>
        <w:br w:type="page"/>
      </w:r>
      <w:r>
        <w:rPr>
          <w:rFonts w:ascii="Times New Roman" w:eastAsia="Calibri" w:hAnsi="Times New Roman"/>
          <w:sz w:val="24"/>
          <w:szCs w:val="24"/>
        </w:rPr>
        <w:t xml:space="preserve">Приложение №2 </w:t>
      </w:r>
    </w:p>
    <w:p w14:paraId="687205D9" w14:textId="77777777" w:rsidR="000C1E0E" w:rsidRDefault="000C1E0E" w:rsidP="000C1E0E">
      <w:pPr>
        <w:tabs>
          <w:tab w:val="left" w:pos="3069"/>
        </w:tabs>
        <w:jc w:val="right"/>
        <w:rPr>
          <w:rFonts w:ascii="Times New Roman" w:eastAsia="Calibri" w:hAnsi="Times New Roman"/>
          <w:sz w:val="24"/>
          <w:szCs w:val="24"/>
        </w:rPr>
      </w:pPr>
      <w:r>
        <w:rPr>
          <w:rFonts w:ascii="Times New Roman" w:eastAsia="Calibri" w:hAnsi="Times New Roman"/>
          <w:sz w:val="24"/>
          <w:szCs w:val="24"/>
        </w:rPr>
        <w:t>к Правилам</w:t>
      </w:r>
      <w:r>
        <w:rPr>
          <w:rFonts w:ascii="Times New Roman" w:hAnsi="Times New Roman"/>
          <w:sz w:val="24"/>
          <w:szCs w:val="24"/>
        </w:rPr>
        <w:t xml:space="preserve"> определения СЧА</w:t>
      </w:r>
    </w:p>
    <w:p w14:paraId="79574639" w14:textId="77777777" w:rsidR="000C1E0E" w:rsidRDefault="000C1E0E" w:rsidP="000C1E0E">
      <w:pPr>
        <w:tabs>
          <w:tab w:val="num" w:pos="0"/>
        </w:tabs>
        <w:spacing w:line="240" w:lineRule="auto"/>
        <w:ind w:left="720"/>
        <w:rPr>
          <w:rFonts w:ascii="Times New Roman" w:hAnsi="Times New Roman"/>
          <w:sz w:val="24"/>
          <w:szCs w:val="24"/>
        </w:rPr>
      </w:pPr>
    </w:p>
    <w:p w14:paraId="0F997817" w14:textId="77777777" w:rsidR="000C1E0E" w:rsidRDefault="000C1E0E" w:rsidP="000C1E0E">
      <w:pPr>
        <w:spacing w:before="120"/>
        <w:ind w:firstLine="426"/>
        <w:rPr>
          <w:rFonts w:ascii="Times New Roman" w:hAnsi="Times New Roman"/>
          <w:b/>
          <w:sz w:val="24"/>
          <w:szCs w:val="24"/>
        </w:rPr>
      </w:pPr>
    </w:p>
    <w:p w14:paraId="0DA0B6DE" w14:textId="77777777" w:rsidR="000C1E0E" w:rsidRDefault="000C1E0E" w:rsidP="000C1E0E">
      <w:pPr>
        <w:tabs>
          <w:tab w:val="left" w:pos="3069"/>
        </w:tabs>
        <w:spacing w:after="160" w:line="254" w:lineRule="auto"/>
        <w:jc w:val="center"/>
        <w:rPr>
          <w:rFonts w:ascii="Times New Roman" w:hAnsi="Times New Roman"/>
          <w:b/>
          <w:bCs/>
          <w:iCs/>
          <w:szCs w:val="28"/>
        </w:rPr>
      </w:pPr>
      <w:r>
        <w:rPr>
          <w:rFonts w:ascii="Times New Roman" w:hAnsi="Times New Roman"/>
          <w:b/>
          <w:sz w:val="24"/>
          <w:szCs w:val="24"/>
        </w:rPr>
        <w:t>МЕТОДИКА ОЦЕНКИ КРЕДИТНОГО РИСКА</w:t>
      </w:r>
    </w:p>
    <w:p w14:paraId="69941213" w14:textId="77777777" w:rsidR="000C1E0E" w:rsidRDefault="000C1E0E" w:rsidP="000C1E0E">
      <w:pPr>
        <w:tabs>
          <w:tab w:val="left" w:pos="3069"/>
        </w:tabs>
        <w:spacing w:after="160" w:line="254" w:lineRule="auto"/>
        <w:jc w:val="center"/>
        <w:rPr>
          <w:b/>
          <w:szCs w:val="24"/>
        </w:rPr>
      </w:pPr>
    </w:p>
    <w:p w14:paraId="70866247" w14:textId="77777777" w:rsidR="000C1E0E" w:rsidRDefault="000C1E0E" w:rsidP="000C1E0E">
      <w:pPr>
        <w:keepLines/>
        <w:numPr>
          <w:ilvl w:val="0"/>
          <w:numId w:val="2"/>
        </w:numPr>
        <w:spacing w:line="360" w:lineRule="auto"/>
        <w:ind w:left="0" w:firstLine="0"/>
        <w:jc w:val="left"/>
        <w:rPr>
          <w:b/>
          <w:sz w:val="24"/>
          <w:szCs w:val="24"/>
        </w:rPr>
      </w:pPr>
      <w:r>
        <w:rPr>
          <w:b/>
          <w:sz w:val="24"/>
          <w:szCs w:val="24"/>
        </w:rPr>
        <w:t>Цели и определения</w:t>
      </w:r>
    </w:p>
    <w:p w14:paraId="6E7535E7" w14:textId="77777777" w:rsidR="000C1E0E" w:rsidRDefault="000C1E0E" w:rsidP="000C1E0E">
      <w:pPr>
        <w:autoSpaceDE w:val="0"/>
        <w:autoSpaceDN w:val="0"/>
        <w:spacing w:line="360" w:lineRule="auto"/>
        <w:ind w:firstLine="567"/>
        <w:rPr>
          <w:sz w:val="24"/>
          <w:szCs w:val="24"/>
        </w:rPr>
      </w:pPr>
      <w:r>
        <w:rPr>
          <w:sz w:val="24"/>
          <w:szCs w:val="24"/>
        </w:rPr>
        <w:t>Настоящая методика служит для оценки Кредитного риска контрагента, в том числе при размещении денежных средств в депозиты и на счета с условием неснижаемого остатка в кредитных организациях.</w:t>
      </w:r>
    </w:p>
    <w:p w14:paraId="21A1BF5A" w14:textId="77777777" w:rsidR="000C1E0E" w:rsidRDefault="000C1E0E" w:rsidP="000C1E0E">
      <w:pPr>
        <w:autoSpaceDE w:val="0"/>
        <w:autoSpaceDN w:val="0"/>
        <w:spacing w:line="360" w:lineRule="auto"/>
        <w:ind w:firstLine="567"/>
        <w:rPr>
          <w:sz w:val="24"/>
          <w:szCs w:val="24"/>
        </w:rPr>
      </w:pPr>
      <w:r>
        <w:rPr>
          <w:sz w:val="24"/>
          <w:szCs w:val="24"/>
        </w:rPr>
        <w:t>При возникновении события, ведущего к обесценению, справедливая стоимость денежных средств на счетах и во вкладах, справедливая стоимость дебиторской задолженности, в том числе по вкладам (займам), определяется в соответствии с методом корректировки справедливой стоимости на основании Метода 1 или Метода 2, в зависимости от срока погашения актива.</w:t>
      </w:r>
    </w:p>
    <w:p w14:paraId="5536B0D7" w14:textId="70B7997C" w:rsidR="000C1E0E" w:rsidRDefault="000C1E0E" w:rsidP="000C1E0E">
      <w:pPr>
        <w:autoSpaceDE w:val="0"/>
        <w:autoSpaceDN w:val="0"/>
        <w:spacing w:line="360" w:lineRule="auto"/>
        <w:ind w:firstLine="567"/>
        <w:rPr>
          <w:sz w:val="24"/>
          <w:szCs w:val="24"/>
        </w:rPr>
      </w:pPr>
      <w:r>
        <w:rPr>
          <w:sz w:val="24"/>
          <w:szCs w:val="24"/>
        </w:rPr>
        <w:t xml:space="preserve">Если на момент выявления события, </w:t>
      </w:r>
      <w:r>
        <w:rPr>
          <w:bCs/>
          <w:iCs/>
          <w:sz w:val="24"/>
          <w:szCs w:val="24"/>
        </w:rPr>
        <w:t>существенно увеличивающим кредитный риск владения финансовым активом</w:t>
      </w:r>
      <w:r>
        <w:rPr>
          <w:sz w:val="24"/>
          <w:szCs w:val="24"/>
        </w:rPr>
        <w:t>, у актива имеется обеспечение, на весь или больший размер, чем размер справедливой стоимости актива (в виде залога, поручительства, гарантии, обязательства третьих лиц, опционных соглашений и т.п.), то в этом случае корректировка справедливой стоимости обеспеченного актива не происходит.</w:t>
      </w:r>
    </w:p>
    <w:p w14:paraId="2E2B1D72" w14:textId="77777777" w:rsidR="000C1E0E" w:rsidRDefault="000C1E0E" w:rsidP="000C1E0E">
      <w:pPr>
        <w:autoSpaceDE w:val="0"/>
        <w:autoSpaceDN w:val="0"/>
        <w:spacing w:line="360" w:lineRule="auto"/>
        <w:ind w:firstLine="567"/>
        <w:rPr>
          <w:sz w:val="24"/>
          <w:szCs w:val="24"/>
        </w:rPr>
      </w:pPr>
      <w:r>
        <w:rPr>
          <w:i/>
          <w:sz w:val="24"/>
          <w:szCs w:val="24"/>
        </w:rPr>
        <w:t>Кредитный риск</w:t>
      </w:r>
      <w:r>
        <w:rPr>
          <w:sz w:val="24"/>
          <w:szCs w:val="24"/>
        </w:rPr>
        <w:t xml:space="preserve"> – риск возникновения убытка вследствие неисполнения контрагентом обязательств по </w:t>
      </w:r>
      <w:r>
        <w:rPr>
          <w:bCs/>
          <w:iCs/>
          <w:sz w:val="24"/>
          <w:szCs w:val="24"/>
        </w:rPr>
        <w:t>договору</w:t>
      </w:r>
      <w:r>
        <w:rPr>
          <w:sz w:val="24"/>
          <w:szCs w:val="24"/>
        </w:rPr>
        <w:t>, а также неоплаты контрагентом основного долга и/или процентов, причитающихся в установленный договором срок.</w:t>
      </w:r>
    </w:p>
    <w:p w14:paraId="47156320" w14:textId="77777777" w:rsidR="000C1E0E" w:rsidRDefault="000C1E0E" w:rsidP="000C1E0E">
      <w:pPr>
        <w:autoSpaceDE w:val="0"/>
        <w:autoSpaceDN w:val="0"/>
        <w:spacing w:line="360" w:lineRule="auto"/>
        <w:ind w:firstLine="567"/>
        <w:rPr>
          <w:sz w:val="24"/>
          <w:szCs w:val="24"/>
        </w:rPr>
      </w:pPr>
      <w:r>
        <w:rPr>
          <w:bCs/>
          <w:i/>
          <w:iCs/>
          <w:sz w:val="24"/>
          <w:szCs w:val="24"/>
        </w:rPr>
        <w:t xml:space="preserve">Кредитный рейтинг – </w:t>
      </w:r>
      <w:r>
        <w:rPr>
          <w:sz w:val="24"/>
          <w:szCs w:val="24"/>
        </w:rPr>
        <w:t>мнение независимого рейтингового агентства о способности рейтингуемого лица исполнять принятые на себя финансовые обязательства (о его кредитоспособности, финансовой надежности, финансовой устойчивости), выраженное с использованием рейтинговой категории по определенной рейтинговой шкале. В целях применения настоящей методики используются рейтинги следующих рейтинговых агентств:</w:t>
      </w:r>
    </w:p>
    <w:p w14:paraId="1A888BC2" w14:textId="77777777" w:rsidR="000C1E0E" w:rsidRDefault="000C1E0E" w:rsidP="000C1E0E">
      <w:pPr>
        <w:pStyle w:val="afc"/>
        <w:numPr>
          <w:ilvl w:val="0"/>
          <w:numId w:val="16"/>
        </w:numPr>
        <w:autoSpaceDE w:val="0"/>
        <w:autoSpaceDN w:val="0"/>
        <w:spacing w:after="0" w:line="360" w:lineRule="auto"/>
        <w:jc w:val="both"/>
        <w:rPr>
          <w:rFonts w:ascii="Times New Roman" w:hAnsi="Times New Roman"/>
          <w:sz w:val="24"/>
          <w:szCs w:val="24"/>
        </w:rPr>
      </w:pPr>
      <w:r>
        <w:rPr>
          <w:rFonts w:ascii="Times New Roman" w:hAnsi="Times New Roman"/>
          <w:sz w:val="24"/>
          <w:szCs w:val="24"/>
        </w:rPr>
        <w:t>Moody's Investors Service</w:t>
      </w:r>
    </w:p>
    <w:p w14:paraId="03664FBF" w14:textId="77777777" w:rsidR="000C1E0E" w:rsidRDefault="000C1E0E" w:rsidP="000C1E0E">
      <w:pPr>
        <w:pStyle w:val="afc"/>
        <w:numPr>
          <w:ilvl w:val="0"/>
          <w:numId w:val="16"/>
        </w:numPr>
        <w:autoSpaceDE w:val="0"/>
        <w:autoSpaceDN w:val="0"/>
        <w:spacing w:after="0" w:line="360" w:lineRule="auto"/>
        <w:jc w:val="both"/>
        <w:rPr>
          <w:rFonts w:ascii="Times New Roman" w:hAnsi="Times New Roman"/>
          <w:sz w:val="24"/>
          <w:szCs w:val="24"/>
        </w:rPr>
      </w:pPr>
      <w:r>
        <w:rPr>
          <w:rFonts w:ascii="Times New Roman" w:hAnsi="Times New Roman"/>
          <w:sz w:val="24"/>
          <w:szCs w:val="24"/>
        </w:rPr>
        <w:t>Standard &amp; Poor's</w:t>
      </w:r>
    </w:p>
    <w:p w14:paraId="070E03B1" w14:textId="77777777" w:rsidR="000C1E0E" w:rsidRDefault="000C1E0E" w:rsidP="000C1E0E">
      <w:pPr>
        <w:pStyle w:val="afc"/>
        <w:numPr>
          <w:ilvl w:val="0"/>
          <w:numId w:val="16"/>
        </w:numPr>
        <w:autoSpaceDE w:val="0"/>
        <w:autoSpaceDN w:val="0"/>
        <w:spacing w:after="0" w:line="360" w:lineRule="auto"/>
        <w:jc w:val="both"/>
        <w:rPr>
          <w:rFonts w:ascii="Times New Roman" w:hAnsi="Times New Roman"/>
          <w:sz w:val="24"/>
          <w:szCs w:val="24"/>
        </w:rPr>
      </w:pPr>
      <w:r>
        <w:rPr>
          <w:rFonts w:ascii="Times New Roman" w:hAnsi="Times New Roman"/>
          <w:sz w:val="24"/>
          <w:szCs w:val="24"/>
        </w:rPr>
        <w:t>Fitch Ratings</w:t>
      </w:r>
    </w:p>
    <w:p w14:paraId="3FB064B5" w14:textId="77777777" w:rsidR="000C1E0E" w:rsidRDefault="000C1E0E" w:rsidP="000C1E0E">
      <w:pPr>
        <w:pStyle w:val="afc"/>
        <w:numPr>
          <w:ilvl w:val="0"/>
          <w:numId w:val="16"/>
        </w:numPr>
        <w:autoSpaceDE w:val="0"/>
        <w:autoSpaceDN w:val="0"/>
        <w:spacing w:after="0" w:line="360" w:lineRule="auto"/>
        <w:jc w:val="both"/>
        <w:rPr>
          <w:rFonts w:ascii="Times New Roman" w:hAnsi="Times New Roman"/>
          <w:sz w:val="24"/>
          <w:szCs w:val="24"/>
        </w:rPr>
      </w:pPr>
      <w:r>
        <w:rPr>
          <w:rFonts w:ascii="Times New Roman" w:hAnsi="Times New Roman"/>
          <w:sz w:val="24"/>
          <w:szCs w:val="24"/>
        </w:rPr>
        <w:t>Аналитическое Кредитное Рейтинговое Агентство (АКРА)</w:t>
      </w:r>
    </w:p>
    <w:p w14:paraId="6D145190" w14:textId="77777777" w:rsidR="000C1E0E" w:rsidRDefault="000C1E0E" w:rsidP="000C1E0E">
      <w:pPr>
        <w:pStyle w:val="afc"/>
        <w:numPr>
          <w:ilvl w:val="0"/>
          <w:numId w:val="16"/>
        </w:numPr>
        <w:autoSpaceDE w:val="0"/>
        <w:autoSpaceDN w:val="0"/>
        <w:spacing w:after="0" w:line="360" w:lineRule="auto"/>
        <w:jc w:val="both"/>
        <w:rPr>
          <w:rFonts w:ascii="Times New Roman" w:hAnsi="Times New Roman"/>
          <w:sz w:val="24"/>
          <w:szCs w:val="24"/>
        </w:rPr>
      </w:pPr>
      <w:r>
        <w:rPr>
          <w:rFonts w:ascii="Times New Roman" w:hAnsi="Times New Roman"/>
          <w:sz w:val="24"/>
          <w:szCs w:val="24"/>
        </w:rPr>
        <w:t>Рейтинговое агентство RAEX («Эксперт РА»).</w:t>
      </w:r>
    </w:p>
    <w:p w14:paraId="3F89EB09" w14:textId="77777777" w:rsidR="000C1E0E" w:rsidRDefault="000C1E0E" w:rsidP="000C1E0E">
      <w:pPr>
        <w:spacing w:line="360" w:lineRule="auto"/>
        <w:ind w:firstLine="567"/>
        <w:rPr>
          <w:sz w:val="24"/>
          <w:szCs w:val="24"/>
        </w:rPr>
      </w:pPr>
    </w:p>
    <w:p w14:paraId="290A9D80" w14:textId="77777777" w:rsidR="000C1E0E" w:rsidRDefault="000C1E0E" w:rsidP="000C1E0E">
      <w:pPr>
        <w:spacing w:line="360" w:lineRule="auto"/>
        <w:ind w:firstLine="567"/>
        <w:rPr>
          <w:szCs w:val="24"/>
        </w:rPr>
      </w:pPr>
      <w:r>
        <w:rPr>
          <w:b/>
          <w:sz w:val="24"/>
          <w:szCs w:val="24"/>
        </w:rPr>
        <w:t>Метод 1.</w:t>
      </w:r>
      <w:r>
        <w:rPr>
          <w:szCs w:val="24"/>
        </w:rPr>
        <w:t xml:space="preserve"> </w:t>
      </w:r>
    </w:p>
    <w:p w14:paraId="1748FA30" w14:textId="77777777" w:rsidR="000C1E0E" w:rsidRDefault="000C1E0E" w:rsidP="000C1E0E">
      <w:pPr>
        <w:spacing w:line="360" w:lineRule="auto"/>
        <w:ind w:firstLine="567"/>
        <w:rPr>
          <w:rFonts w:eastAsia="Batang"/>
          <w:sz w:val="24"/>
          <w:szCs w:val="24"/>
        </w:rPr>
      </w:pPr>
      <w:r>
        <w:rPr>
          <w:rFonts w:eastAsia="Batang"/>
          <w:b/>
          <w:sz w:val="24"/>
          <w:szCs w:val="24"/>
        </w:rPr>
        <w:t>Справедливая стоимость актива до погашения которого осталось больше 1 года (за исключением фактической просрочки),</w:t>
      </w:r>
      <w:r>
        <w:rPr>
          <w:rFonts w:eastAsia="Batang"/>
          <w:sz w:val="24"/>
          <w:szCs w:val="24"/>
        </w:rPr>
        <w:t xml:space="preserve"> определяется по методу приведенной стоимости будущих денежных потоков, учитывая кредитные риски</w:t>
      </w:r>
      <w:r>
        <w:rPr>
          <w:szCs w:val="24"/>
        </w:rPr>
        <w:t xml:space="preserve"> </w:t>
      </w:r>
      <w:r>
        <w:rPr>
          <w:rFonts w:eastAsia="Batang"/>
          <w:sz w:val="24"/>
          <w:szCs w:val="24"/>
        </w:rPr>
        <w:t>через корректировку ставки дисконтирования:</w:t>
      </w:r>
    </w:p>
    <w:p w14:paraId="65B2D03D" w14:textId="77777777" w:rsidR="000C1E0E" w:rsidRDefault="000C1E0E" w:rsidP="000C1E0E">
      <w:pPr>
        <w:spacing w:line="360" w:lineRule="auto"/>
        <w:ind w:firstLine="567"/>
        <w:rPr>
          <w:rFonts w:eastAsia="Batang"/>
          <w:sz w:val="24"/>
          <w:szCs w:val="24"/>
        </w:rPr>
      </w:pPr>
    </w:p>
    <w:p w14:paraId="17EB94F8" w14:textId="77777777" w:rsidR="000C1E0E" w:rsidRDefault="00C74876" w:rsidP="000C1E0E">
      <w:pPr>
        <w:spacing w:line="360" w:lineRule="auto"/>
        <w:ind w:firstLine="567"/>
        <w:rPr>
          <w:i/>
          <w:szCs w:val="24"/>
          <w:lang w:val="en-US"/>
        </w:rPr>
      </w:pPr>
      <m:oMathPara>
        <m:oMath>
          <m:sSub>
            <m:sSubPr>
              <m:ctrlPr>
                <w:rPr>
                  <w:rFonts w:ascii="Cambria Math" w:eastAsia="Batang" w:hAnsi="Cambria Math"/>
                  <w:i/>
                  <w:szCs w:val="24"/>
                </w:rPr>
              </m:ctrlPr>
            </m:sSubPr>
            <m:e>
              <m:r>
                <w:rPr>
                  <w:rFonts w:ascii="Cambria Math" w:eastAsia="Batang" w:hAnsi="Cambria Math"/>
                  <w:szCs w:val="24"/>
                </w:rPr>
                <m:t>PV</m:t>
              </m:r>
            </m:e>
            <m:sub>
              <m:r>
                <w:rPr>
                  <w:rFonts w:ascii="Cambria Math" w:eastAsia="Batang" w:hAnsi="Cambria Math"/>
                  <w:szCs w:val="24"/>
                </w:rPr>
                <m:t>dev</m:t>
              </m:r>
            </m:sub>
          </m:sSub>
          <m:r>
            <w:rPr>
              <w:rFonts w:ascii="Cambria Math" w:eastAsia="Batang" w:hAnsi="Cambria Math"/>
              <w:szCs w:val="24"/>
            </w:rPr>
            <m:t>=</m:t>
          </m:r>
          <m:nary>
            <m:naryPr>
              <m:chr m:val="∑"/>
              <m:limLoc m:val="undOvr"/>
              <m:ctrlPr>
                <w:rPr>
                  <w:rFonts w:ascii="Cambria Math" w:eastAsia="Batang" w:hAnsi="Cambria Math"/>
                  <w:i/>
                  <w:szCs w:val="24"/>
                </w:rPr>
              </m:ctrlPr>
            </m:naryPr>
            <m:sub>
              <m:r>
                <w:rPr>
                  <w:rFonts w:ascii="Cambria Math" w:eastAsia="Batang" w:hAnsi="Cambria Math"/>
                  <w:szCs w:val="24"/>
                </w:rPr>
                <m:t>n=1</m:t>
              </m:r>
            </m:sub>
            <m:sup>
              <m:r>
                <w:rPr>
                  <w:rFonts w:ascii="Cambria Math" w:eastAsia="Batang" w:hAnsi="Cambria Math"/>
                  <w:szCs w:val="24"/>
                </w:rPr>
                <m:t>N</m:t>
              </m:r>
            </m:sup>
            <m:e>
              <m:f>
                <m:fPr>
                  <m:ctrlPr>
                    <w:rPr>
                      <w:rFonts w:ascii="Cambria Math" w:eastAsia="Batang" w:hAnsi="Cambria Math"/>
                      <w:i/>
                      <w:szCs w:val="24"/>
                    </w:rPr>
                  </m:ctrlPr>
                </m:fPr>
                <m:num>
                  <m:sSub>
                    <m:sSubPr>
                      <m:ctrlPr>
                        <w:rPr>
                          <w:rFonts w:ascii="Cambria Math" w:eastAsia="Batang" w:hAnsi="Cambria Math"/>
                          <w:i/>
                          <w:szCs w:val="24"/>
                        </w:rPr>
                      </m:ctrlPr>
                    </m:sSubPr>
                    <m:e>
                      <m:r>
                        <w:rPr>
                          <w:rFonts w:ascii="Cambria Math" w:eastAsia="Batang" w:hAnsi="Cambria Math"/>
                          <w:szCs w:val="24"/>
                        </w:rPr>
                        <m:t>P</m:t>
                      </m:r>
                    </m:e>
                    <m:sub>
                      <m:r>
                        <w:rPr>
                          <w:rFonts w:ascii="Cambria Math" w:eastAsia="Batang" w:hAnsi="Cambria Math"/>
                          <w:szCs w:val="24"/>
                        </w:rPr>
                        <m:t>n</m:t>
                      </m:r>
                    </m:sub>
                  </m:sSub>
                </m:num>
                <m:den>
                  <m:sSup>
                    <m:sSupPr>
                      <m:ctrlPr>
                        <w:rPr>
                          <w:rFonts w:ascii="Cambria Math" w:eastAsia="Batang" w:hAnsi="Cambria Math"/>
                          <w:i/>
                          <w:szCs w:val="24"/>
                        </w:rPr>
                      </m:ctrlPr>
                    </m:sSupPr>
                    <m:e>
                      <m:r>
                        <w:rPr>
                          <w:rFonts w:ascii="Cambria Math" w:eastAsia="Batang" w:hAnsi="Cambria Math"/>
                          <w:szCs w:val="24"/>
                        </w:rPr>
                        <m:t>(1+</m:t>
                      </m:r>
                      <m:sSub>
                        <m:sSubPr>
                          <m:ctrlPr>
                            <w:rPr>
                              <w:rFonts w:ascii="Cambria Math" w:eastAsia="Batang" w:hAnsi="Cambria Math"/>
                              <w:i/>
                              <w:szCs w:val="24"/>
                            </w:rPr>
                          </m:ctrlPr>
                        </m:sSubPr>
                        <m:e>
                          <m:r>
                            <w:rPr>
                              <w:rFonts w:ascii="Cambria Math" w:eastAsia="Batang" w:hAnsi="Cambria Math"/>
                              <w:szCs w:val="24"/>
                            </w:rPr>
                            <m:t>r</m:t>
                          </m:r>
                        </m:e>
                        <m:sub/>
                      </m:sSub>
                      <m:r>
                        <w:rPr>
                          <w:rFonts w:ascii="Cambria Math" w:eastAsia="Batang" w:hAnsi="Cambria Math"/>
                          <w:szCs w:val="24"/>
                        </w:rPr>
                        <m:t>+</m:t>
                      </m:r>
                      <m:r>
                        <w:rPr>
                          <w:rFonts w:ascii="Cambria Math" w:eastAsia="Batang" w:hAnsi="Cambria Math"/>
                          <w:szCs w:val="24"/>
                          <w:lang w:val="en-US"/>
                        </w:rPr>
                        <m:t>PD*LGD</m:t>
                      </m:r>
                      <m:r>
                        <w:rPr>
                          <w:rFonts w:ascii="Cambria Math" w:eastAsia="Batang" w:hAnsi="Cambria Math"/>
                          <w:szCs w:val="24"/>
                        </w:rPr>
                        <m:t>)</m:t>
                      </m:r>
                    </m:e>
                    <m:sup>
                      <m:f>
                        <m:fPr>
                          <m:type m:val="lin"/>
                          <m:ctrlPr>
                            <w:rPr>
                              <w:rFonts w:ascii="Cambria Math" w:eastAsia="Batang" w:hAnsi="Cambria Math"/>
                              <w:i/>
                              <w:szCs w:val="24"/>
                            </w:rPr>
                          </m:ctrlPr>
                        </m:fPr>
                        <m:num>
                          <m:sSub>
                            <m:sSubPr>
                              <m:ctrlPr>
                                <w:rPr>
                                  <w:rFonts w:ascii="Cambria Math" w:eastAsia="Batang" w:hAnsi="Cambria Math"/>
                                  <w:i/>
                                  <w:szCs w:val="24"/>
                                </w:rPr>
                              </m:ctrlPr>
                            </m:sSubPr>
                            <m:e>
                              <m:r>
                                <w:rPr>
                                  <w:rFonts w:ascii="Cambria Math" w:eastAsia="Batang" w:hAnsi="Cambria Math"/>
                                  <w:szCs w:val="24"/>
                                </w:rPr>
                                <m:t>D</m:t>
                              </m:r>
                            </m:e>
                            <m:sub>
                              <m:r>
                                <w:rPr>
                                  <w:rFonts w:ascii="Cambria Math" w:eastAsia="Batang" w:hAnsi="Cambria Math"/>
                                  <w:szCs w:val="24"/>
                                </w:rPr>
                                <m:t>n</m:t>
                              </m:r>
                            </m:sub>
                          </m:sSub>
                        </m:num>
                        <m:den>
                          <m:r>
                            <w:rPr>
                              <w:rFonts w:ascii="Cambria Math" w:eastAsia="Batang" w:hAnsi="Cambria Math"/>
                              <w:szCs w:val="24"/>
                            </w:rPr>
                            <m:t>365</m:t>
                          </m:r>
                        </m:den>
                      </m:f>
                    </m:sup>
                  </m:sSup>
                </m:den>
              </m:f>
              <m:r>
                <w:rPr>
                  <w:rFonts w:ascii="Cambria Math" w:eastAsia="Batang" w:hAnsi="Cambria Math"/>
                  <w:szCs w:val="24"/>
                </w:rPr>
                <m:t xml:space="preserve">          </m:t>
              </m:r>
            </m:e>
          </m:nary>
        </m:oMath>
      </m:oMathPara>
    </w:p>
    <w:p w14:paraId="43BEBBA5" w14:textId="77777777" w:rsidR="000C1E0E" w:rsidRDefault="000C1E0E" w:rsidP="000C1E0E">
      <w:pPr>
        <w:spacing w:line="360" w:lineRule="auto"/>
        <w:rPr>
          <w:i/>
          <w:szCs w:val="24"/>
        </w:rPr>
      </w:pPr>
      <w:r>
        <w:rPr>
          <w:i/>
          <w:szCs w:val="24"/>
        </w:rPr>
        <w:t>где</w:t>
      </w:r>
    </w:p>
    <w:p w14:paraId="073182B6" w14:textId="77777777" w:rsidR="000C1E0E" w:rsidRDefault="00C74876" w:rsidP="000C1E0E">
      <w:pPr>
        <w:pStyle w:val="12"/>
        <w:tabs>
          <w:tab w:val="left" w:pos="993"/>
        </w:tabs>
        <w:spacing w:before="120" w:line="276" w:lineRule="auto"/>
        <w:ind w:left="0"/>
        <w:jc w:val="both"/>
        <w:rPr>
          <w:rFonts w:eastAsia="Batang"/>
          <w:szCs w:val="24"/>
        </w:rPr>
      </w:pPr>
      <m:oMath>
        <m:sSub>
          <m:sSubPr>
            <m:ctrlPr>
              <w:rPr>
                <w:rFonts w:ascii="Cambria Math" w:eastAsia="Batang" w:hAnsi="Cambria Math"/>
                <w:i/>
                <w:szCs w:val="24"/>
              </w:rPr>
            </m:ctrlPr>
          </m:sSubPr>
          <m:e>
            <m:r>
              <w:rPr>
                <w:rFonts w:ascii="Cambria Math" w:eastAsia="Batang" w:hAnsi="Cambria Math"/>
                <w:szCs w:val="24"/>
              </w:rPr>
              <m:t>PV</m:t>
            </m:r>
          </m:e>
          <m:sub>
            <m:r>
              <w:rPr>
                <w:rFonts w:ascii="Cambria Math" w:eastAsia="Batang" w:hAnsi="Cambria Math"/>
                <w:szCs w:val="24"/>
              </w:rPr>
              <m:t>dev</m:t>
            </m:r>
          </m:sub>
        </m:sSub>
        <m:r>
          <w:rPr>
            <w:rFonts w:ascii="Cambria Math" w:eastAsia="Batang" w:hAnsi="Cambria Math"/>
            <w:szCs w:val="24"/>
          </w:rPr>
          <m:t xml:space="preserve"> </m:t>
        </m:r>
      </m:oMath>
      <w:r w:rsidR="000C1E0E">
        <w:rPr>
          <w:rFonts w:eastAsia="Batang"/>
          <w:szCs w:val="24"/>
        </w:rPr>
        <w:t>– справедливая стоимость обесцененного актива;</w:t>
      </w:r>
    </w:p>
    <w:p w14:paraId="11702476" w14:textId="77777777" w:rsidR="000C1E0E" w:rsidRDefault="000C1E0E" w:rsidP="000C1E0E">
      <w:pPr>
        <w:pStyle w:val="12"/>
        <w:tabs>
          <w:tab w:val="left" w:pos="993"/>
        </w:tabs>
        <w:spacing w:before="120" w:line="276" w:lineRule="auto"/>
        <w:ind w:left="0"/>
        <w:jc w:val="both"/>
        <w:rPr>
          <w:rFonts w:eastAsia="Batang"/>
          <w:szCs w:val="24"/>
        </w:rPr>
      </w:pPr>
      <w:r>
        <w:rPr>
          <w:rFonts w:eastAsia="Batang"/>
          <w:szCs w:val="24"/>
        </w:rPr>
        <w:t>N - количество денежных потоков до даты погашения актива, начиная с даты определения СЧА;</w:t>
      </w:r>
    </w:p>
    <w:p w14:paraId="16337A04" w14:textId="77777777" w:rsidR="000C1E0E" w:rsidRDefault="00C74876" w:rsidP="000C1E0E">
      <w:pPr>
        <w:pStyle w:val="12"/>
        <w:tabs>
          <w:tab w:val="left" w:pos="993"/>
        </w:tabs>
        <w:spacing w:before="120" w:line="276" w:lineRule="auto"/>
        <w:ind w:left="0"/>
        <w:jc w:val="both"/>
        <w:rPr>
          <w:rFonts w:eastAsia="Batang"/>
          <w:szCs w:val="24"/>
        </w:rPr>
      </w:pPr>
      <m:oMath>
        <m:sSub>
          <m:sSubPr>
            <m:ctrlPr>
              <w:rPr>
                <w:rFonts w:ascii="Cambria Math" w:eastAsia="Batang" w:hAnsi="Cambria Math"/>
                <w:i/>
                <w:szCs w:val="24"/>
              </w:rPr>
            </m:ctrlPr>
          </m:sSubPr>
          <m:e>
            <m:r>
              <w:rPr>
                <w:rFonts w:ascii="Cambria Math" w:eastAsia="Batang" w:hAnsi="Cambria Math"/>
                <w:szCs w:val="24"/>
              </w:rPr>
              <m:t>P</m:t>
            </m:r>
          </m:e>
          <m:sub>
            <m:r>
              <w:rPr>
                <w:rFonts w:ascii="Cambria Math" w:eastAsia="Batang" w:hAnsi="Cambria Math"/>
                <w:szCs w:val="24"/>
              </w:rPr>
              <m:t>n</m:t>
            </m:r>
          </m:sub>
        </m:sSub>
      </m:oMath>
      <w:r w:rsidR="000C1E0E">
        <w:rPr>
          <w:rFonts w:eastAsia="Batang"/>
          <w:szCs w:val="24"/>
        </w:rPr>
        <w:t xml:space="preserve"> - сумма n-ого денежного потока (проценты и основная сумма); </w:t>
      </w:r>
    </w:p>
    <w:p w14:paraId="4FDCB94E" w14:textId="77777777" w:rsidR="000C1E0E" w:rsidRDefault="000C1E0E" w:rsidP="000C1E0E">
      <w:pPr>
        <w:pStyle w:val="12"/>
        <w:tabs>
          <w:tab w:val="left" w:pos="993"/>
        </w:tabs>
        <w:spacing w:before="120" w:line="276" w:lineRule="auto"/>
        <w:ind w:left="0"/>
        <w:jc w:val="both"/>
        <w:rPr>
          <w:rFonts w:eastAsia="Batang"/>
          <w:szCs w:val="24"/>
        </w:rPr>
      </w:pPr>
      <w:r>
        <w:rPr>
          <w:rFonts w:eastAsia="Batang"/>
          <w:szCs w:val="24"/>
        </w:rPr>
        <w:t>n - порядковый номер денежного потока, начиная с даты определения СЧА;</w:t>
      </w:r>
    </w:p>
    <w:p w14:paraId="61BDB49C" w14:textId="77777777" w:rsidR="000C1E0E" w:rsidRDefault="000C1E0E" w:rsidP="000C1E0E">
      <w:pPr>
        <w:pStyle w:val="12"/>
        <w:tabs>
          <w:tab w:val="left" w:pos="993"/>
        </w:tabs>
        <w:spacing w:before="120" w:line="276" w:lineRule="auto"/>
        <w:ind w:left="0"/>
        <w:jc w:val="both"/>
        <w:rPr>
          <w:rFonts w:eastAsia="Batang"/>
          <w:szCs w:val="24"/>
        </w:rPr>
      </w:pPr>
      <w:r>
        <w:rPr>
          <w:rFonts w:eastAsia="Batang"/>
          <w:szCs w:val="24"/>
        </w:rPr>
        <w:object w:dxaOrig="330" w:dyaOrig="375" w14:anchorId="07AB2A35">
          <v:shape id="_x0000_i1071" type="#_x0000_t75" style="width:15.9pt;height:18.4pt" o:ole="">
            <v:imagedata r:id="rId102" o:title=""/>
          </v:shape>
          <o:OLEObject Type="Embed" ProgID="Equation.3" ShapeID="_x0000_i1071" DrawAspect="Content" ObjectID="_1685875241" r:id="rId103"/>
        </w:object>
      </w:r>
      <w:r>
        <w:rPr>
          <w:rFonts w:eastAsia="Batang"/>
          <w:szCs w:val="24"/>
        </w:rPr>
        <w:t xml:space="preserve"> - количество дней от даты определения СЧА до даты n-ого денежного потока;</w:t>
      </w:r>
    </w:p>
    <w:p w14:paraId="45C6A541" w14:textId="77777777" w:rsidR="000C1E0E" w:rsidRDefault="000C1E0E" w:rsidP="000C1E0E">
      <w:pPr>
        <w:autoSpaceDN w:val="0"/>
        <w:spacing w:line="360" w:lineRule="auto"/>
        <w:ind w:firstLine="567"/>
        <w:rPr>
          <w:sz w:val="24"/>
          <w:szCs w:val="24"/>
        </w:rPr>
      </w:pPr>
      <w:r>
        <w:rPr>
          <w:sz w:val="24"/>
          <w:szCs w:val="24"/>
        </w:rPr>
        <w:t>r  - ставка        дисконтирования    в   процентах   годовых, определенная в соответствии с  п. 3.17. настоящих Правил.</w:t>
      </w:r>
    </w:p>
    <w:p w14:paraId="70BE8D9F" w14:textId="77777777" w:rsidR="000C1E0E" w:rsidRDefault="000C1E0E" w:rsidP="000C1E0E">
      <w:pPr>
        <w:autoSpaceDE w:val="0"/>
        <w:autoSpaceDN w:val="0"/>
        <w:spacing w:line="240" w:lineRule="auto"/>
        <w:rPr>
          <w:sz w:val="24"/>
          <w:szCs w:val="24"/>
        </w:rPr>
      </w:pPr>
      <w:r>
        <w:rPr>
          <w:sz w:val="24"/>
          <w:szCs w:val="24"/>
        </w:rPr>
        <w:t>Вероятность дефолта (PD) контрагента на горизонте 1 год определяется следующим образом:</w:t>
      </w:r>
    </w:p>
    <w:p w14:paraId="594BF2E3" w14:textId="77777777" w:rsidR="000C1E0E" w:rsidRDefault="000C1E0E" w:rsidP="000C1E0E">
      <w:pPr>
        <w:autoSpaceDE w:val="0"/>
        <w:autoSpaceDN w:val="0"/>
        <w:spacing w:line="240" w:lineRule="auto"/>
        <w:rPr>
          <w:sz w:val="24"/>
          <w:szCs w:val="24"/>
        </w:rPr>
      </w:pPr>
      <w:r>
        <w:rPr>
          <w:sz w:val="24"/>
          <w:szCs w:val="24"/>
        </w:rPr>
        <w:t>1.1. В случае наличия у контрагента долгосрочного рейтинга в иностранной валюте следующих агентств:</w:t>
      </w:r>
    </w:p>
    <w:p w14:paraId="51B1DE7B" w14:textId="77777777" w:rsidR="000C1E0E" w:rsidRDefault="000C1E0E" w:rsidP="000C1E0E">
      <w:pPr>
        <w:autoSpaceDE w:val="0"/>
        <w:autoSpaceDN w:val="0"/>
        <w:spacing w:line="240" w:lineRule="auto"/>
        <w:ind w:firstLine="708"/>
        <w:rPr>
          <w:sz w:val="24"/>
          <w:szCs w:val="24"/>
          <w:lang w:val="en-US"/>
        </w:rPr>
      </w:pPr>
      <w:r>
        <w:rPr>
          <w:sz w:val="24"/>
          <w:szCs w:val="24"/>
          <w:lang w:val="en-US"/>
        </w:rPr>
        <w:t>- Standard &amp; Poor’s;</w:t>
      </w:r>
    </w:p>
    <w:p w14:paraId="2FB103BB" w14:textId="77777777" w:rsidR="000C1E0E" w:rsidRDefault="000C1E0E" w:rsidP="000C1E0E">
      <w:pPr>
        <w:autoSpaceDE w:val="0"/>
        <w:autoSpaceDN w:val="0"/>
        <w:spacing w:line="240" w:lineRule="auto"/>
        <w:ind w:firstLine="708"/>
        <w:rPr>
          <w:sz w:val="24"/>
          <w:szCs w:val="24"/>
          <w:lang w:val="en-US"/>
        </w:rPr>
      </w:pPr>
      <w:r>
        <w:rPr>
          <w:sz w:val="24"/>
          <w:szCs w:val="24"/>
          <w:lang w:val="en-US"/>
        </w:rPr>
        <w:t>- Moody’s Investors Service;</w:t>
      </w:r>
    </w:p>
    <w:p w14:paraId="34E8D7C1" w14:textId="77777777" w:rsidR="000C1E0E" w:rsidRDefault="000C1E0E" w:rsidP="000C1E0E">
      <w:pPr>
        <w:autoSpaceDE w:val="0"/>
        <w:autoSpaceDN w:val="0"/>
        <w:spacing w:line="240" w:lineRule="auto"/>
        <w:ind w:firstLine="708"/>
        <w:rPr>
          <w:sz w:val="24"/>
          <w:szCs w:val="24"/>
        </w:rPr>
      </w:pPr>
      <w:r>
        <w:rPr>
          <w:sz w:val="24"/>
          <w:szCs w:val="24"/>
        </w:rPr>
        <w:t>- Fitch Ratings</w:t>
      </w:r>
    </w:p>
    <w:p w14:paraId="63A9D124" w14:textId="77777777" w:rsidR="000C1E0E" w:rsidRDefault="000C1E0E" w:rsidP="000C1E0E">
      <w:pPr>
        <w:autoSpaceDE w:val="0"/>
        <w:autoSpaceDN w:val="0"/>
        <w:spacing w:line="240" w:lineRule="auto"/>
        <w:rPr>
          <w:sz w:val="24"/>
          <w:szCs w:val="24"/>
        </w:rPr>
      </w:pPr>
      <w:r>
        <w:rPr>
          <w:sz w:val="24"/>
          <w:szCs w:val="24"/>
        </w:rPr>
        <w:t>или наличия кредитных рейтингов агентств:</w:t>
      </w:r>
    </w:p>
    <w:p w14:paraId="04C93D9B" w14:textId="77777777" w:rsidR="000C1E0E" w:rsidRDefault="000C1E0E" w:rsidP="000C1E0E">
      <w:pPr>
        <w:autoSpaceDE w:val="0"/>
        <w:autoSpaceDN w:val="0"/>
        <w:spacing w:line="240" w:lineRule="auto"/>
        <w:rPr>
          <w:sz w:val="24"/>
          <w:szCs w:val="24"/>
        </w:rPr>
      </w:pPr>
      <w:r>
        <w:rPr>
          <w:sz w:val="24"/>
          <w:szCs w:val="24"/>
        </w:rPr>
        <w:tab/>
        <w:t>- Рейтинговое агентство RAEX («Эксперт РА»);</w:t>
      </w:r>
    </w:p>
    <w:p w14:paraId="374D0986" w14:textId="77777777" w:rsidR="000C1E0E" w:rsidRDefault="000C1E0E" w:rsidP="000C1E0E">
      <w:pPr>
        <w:autoSpaceDE w:val="0"/>
        <w:autoSpaceDN w:val="0"/>
        <w:spacing w:line="240" w:lineRule="auto"/>
        <w:rPr>
          <w:sz w:val="24"/>
          <w:szCs w:val="24"/>
        </w:rPr>
      </w:pPr>
      <w:r>
        <w:rPr>
          <w:sz w:val="24"/>
          <w:szCs w:val="24"/>
        </w:rPr>
        <w:tab/>
        <w:t>- Аналитическое Кредитное Рейтинговое Агентство (АКРА)</w:t>
      </w:r>
    </w:p>
    <w:p w14:paraId="21732596" w14:textId="77777777" w:rsidR="000C1E0E" w:rsidRDefault="000C1E0E" w:rsidP="000C1E0E">
      <w:pPr>
        <w:autoSpaceDE w:val="0"/>
        <w:autoSpaceDN w:val="0"/>
        <w:spacing w:line="240" w:lineRule="auto"/>
        <w:rPr>
          <w:sz w:val="24"/>
          <w:szCs w:val="24"/>
        </w:rPr>
      </w:pPr>
      <w:r>
        <w:rPr>
          <w:sz w:val="24"/>
          <w:szCs w:val="24"/>
        </w:rPr>
        <w:t>вероятность дефолта контрагента на горизонте 1 год определяется согласно Таблице 1 (в качестве оценки по рейтингу берется максимальный из присвоенных рейтингов). Величина PD принимается равной 1 при фактической просрочке обязательства контрагентом.</w:t>
      </w:r>
    </w:p>
    <w:p w14:paraId="59759F0B" w14:textId="77777777" w:rsidR="000C1E0E" w:rsidRDefault="000C1E0E" w:rsidP="000C1E0E">
      <w:pPr>
        <w:autoSpaceDE w:val="0"/>
        <w:autoSpaceDN w:val="0"/>
        <w:spacing w:line="240" w:lineRule="auto"/>
        <w:rPr>
          <w:sz w:val="24"/>
          <w:szCs w:val="24"/>
        </w:rPr>
      </w:pPr>
      <w:r>
        <w:rPr>
          <w:sz w:val="24"/>
          <w:szCs w:val="24"/>
        </w:rPr>
        <w:t>1.2. В случае отсутствия у контрагента рейтингов агентств, указанных в п. 1.1., контрагенту присваивается внутренний рейтинг на основании итогового балла по контрагенту, рассчитанного как сумма баллов, указанных в Таблице 2 для соответствующего диапазона значений каждого рассчитанного коэффициента, взвешенных на соответствующий данному коэффициенту вес. Соответствие внутреннего рейтинга полученному итоговому баллу, а также рейтингу от агентства Standard &amp; Poor’s указано в Таблице 3. Вероятность дефолта контрагента на горизонте 1 год определяется согласно Таблице 1. Величина PD принимается равной 1 при фактической просрочке обязательства контрагентом согласно Приложению №5 к Стандартам НАУФОР определения стоимости чистых активов паевого инвестиционного фонда и стоимости инвестиционного пая.</w:t>
      </w:r>
    </w:p>
    <w:p w14:paraId="106341A4" w14:textId="77777777" w:rsidR="000C1E0E" w:rsidRDefault="000C1E0E" w:rsidP="000C1E0E">
      <w:pPr>
        <w:autoSpaceDE w:val="0"/>
        <w:autoSpaceDN w:val="0"/>
        <w:spacing w:line="240" w:lineRule="auto"/>
        <w:rPr>
          <w:sz w:val="24"/>
          <w:szCs w:val="24"/>
        </w:rPr>
      </w:pPr>
    </w:p>
    <w:p w14:paraId="4AD9DF7C" w14:textId="77777777" w:rsidR="000C1E0E" w:rsidRDefault="000C1E0E" w:rsidP="000C1E0E">
      <w:pPr>
        <w:autoSpaceDE w:val="0"/>
        <w:autoSpaceDN w:val="0"/>
        <w:spacing w:line="240" w:lineRule="auto"/>
        <w:rPr>
          <w:sz w:val="24"/>
          <w:szCs w:val="24"/>
        </w:rPr>
      </w:pPr>
      <w:r>
        <w:rPr>
          <w:sz w:val="24"/>
          <w:szCs w:val="24"/>
        </w:rPr>
        <w:t>2. Доля от суммы, подверженной кредитному риску, которая может быть потеряна в случае дефолта контрагента (Loss Given Default, LGD), определяется следующим образом:</w:t>
      </w:r>
    </w:p>
    <w:p w14:paraId="235F66A6" w14:textId="77777777" w:rsidR="000C1E0E" w:rsidRDefault="000C1E0E" w:rsidP="000C1E0E">
      <w:pPr>
        <w:autoSpaceDE w:val="0"/>
        <w:autoSpaceDN w:val="0"/>
        <w:spacing w:line="240" w:lineRule="auto"/>
        <w:rPr>
          <w:sz w:val="24"/>
          <w:szCs w:val="24"/>
        </w:rPr>
      </w:pPr>
      <w:r>
        <w:rPr>
          <w:sz w:val="24"/>
          <w:szCs w:val="24"/>
        </w:rPr>
        <w:t>2.1. В случае наличия у контрагента долгосрочного рейтинга в иностранной валюте следующих агентств:</w:t>
      </w:r>
    </w:p>
    <w:p w14:paraId="1DF1B68A" w14:textId="77777777" w:rsidR="000C1E0E" w:rsidRDefault="000C1E0E" w:rsidP="000C1E0E">
      <w:pPr>
        <w:autoSpaceDE w:val="0"/>
        <w:autoSpaceDN w:val="0"/>
        <w:spacing w:line="240" w:lineRule="auto"/>
        <w:ind w:firstLine="708"/>
        <w:rPr>
          <w:sz w:val="24"/>
          <w:szCs w:val="24"/>
          <w:lang w:val="en-US"/>
        </w:rPr>
      </w:pPr>
      <w:r>
        <w:rPr>
          <w:sz w:val="24"/>
          <w:szCs w:val="24"/>
          <w:lang w:val="en-US"/>
        </w:rPr>
        <w:t>- Standard &amp; Poor’s;</w:t>
      </w:r>
    </w:p>
    <w:p w14:paraId="5CF48381" w14:textId="77777777" w:rsidR="000C1E0E" w:rsidRDefault="000C1E0E" w:rsidP="000C1E0E">
      <w:pPr>
        <w:autoSpaceDE w:val="0"/>
        <w:autoSpaceDN w:val="0"/>
        <w:spacing w:line="240" w:lineRule="auto"/>
        <w:ind w:firstLine="708"/>
        <w:rPr>
          <w:sz w:val="24"/>
          <w:szCs w:val="24"/>
          <w:lang w:val="en-US"/>
        </w:rPr>
      </w:pPr>
      <w:r>
        <w:rPr>
          <w:sz w:val="24"/>
          <w:szCs w:val="24"/>
          <w:lang w:val="en-US"/>
        </w:rPr>
        <w:t>- Moody’s Investors Service;</w:t>
      </w:r>
    </w:p>
    <w:p w14:paraId="2B65CE9F" w14:textId="77777777" w:rsidR="000C1E0E" w:rsidRDefault="000C1E0E" w:rsidP="000C1E0E">
      <w:pPr>
        <w:autoSpaceDE w:val="0"/>
        <w:autoSpaceDN w:val="0"/>
        <w:spacing w:line="240" w:lineRule="auto"/>
        <w:ind w:firstLine="708"/>
        <w:rPr>
          <w:sz w:val="24"/>
          <w:szCs w:val="24"/>
        </w:rPr>
      </w:pPr>
      <w:r>
        <w:rPr>
          <w:sz w:val="24"/>
          <w:szCs w:val="24"/>
        </w:rPr>
        <w:t>- Fitch Ratings</w:t>
      </w:r>
    </w:p>
    <w:p w14:paraId="7BB46CAB" w14:textId="77777777" w:rsidR="000C1E0E" w:rsidRDefault="000C1E0E" w:rsidP="000C1E0E">
      <w:pPr>
        <w:autoSpaceDE w:val="0"/>
        <w:autoSpaceDN w:val="0"/>
        <w:spacing w:line="240" w:lineRule="auto"/>
        <w:rPr>
          <w:sz w:val="24"/>
          <w:szCs w:val="24"/>
        </w:rPr>
      </w:pPr>
      <w:r>
        <w:rPr>
          <w:sz w:val="24"/>
          <w:szCs w:val="24"/>
        </w:rPr>
        <w:t>или наличия кредитных рейтингов агентств:</w:t>
      </w:r>
    </w:p>
    <w:p w14:paraId="53B9E431" w14:textId="77777777" w:rsidR="000C1E0E" w:rsidRDefault="000C1E0E" w:rsidP="000C1E0E">
      <w:pPr>
        <w:autoSpaceDE w:val="0"/>
        <w:autoSpaceDN w:val="0"/>
        <w:spacing w:line="240" w:lineRule="auto"/>
        <w:rPr>
          <w:sz w:val="24"/>
          <w:szCs w:val="24"/>
        </w:rPr>
      </w:pPr>
      <w:r>
        <w:rPr>
          <w:sz w:val="24"/>
          <w:szCs w:val="24"/>
        </w:rPr>
        <w:tab/>
        <w:t>- Рейтинговое агентство RAEX («Эксперт РА»);</w:t>
      </w:r>
    </w:p>
    <w:p w14:paraId="1D74003F" w14:textId="77777777" w:rsidR="000C1E0E" w:rsidRDefault="000C1E0E" w:rsidP="000C1E0E">
      <w:pPr>
        <w:autoSpaceDE w:val="0"/>
        <w:autoSpaceDN w:val="0"/>
        <w:spacing w:line="240" w:lineRule="auto"/>
        <w:rPr>
          <w:sz w:val="24"/>
          <w:szCs w:val="24"/>
        </w:rPr>
      </w:pPr>
      <w:r>
        <w:rPr>
          <w:sz w:val="24"/>
          <w:szCs w:val="24"/>
        </w:rPr>
        <w:tab/>
        <w:t>- Аналитическое Кредитное Рейтинговое Агентство (АКРА)</w:t>
      </w:r>
    </w:p>
    <w:p w14:paraId="063A3F91" w14:textId="77777777" w:rsidR="000C1E0E" w:rsidRDefault="000C1E0E" w:rsidP="000C1E0E">
      <w:pPr>
        <w:autoSpaceDE w:val="0"/>
        <w:autoSpaceDN w:val="0"/>
        <w:spacing w:line="240" w:lineRule="auto"/>
        <w:rPr>
          <w:sz w:val="24"/>
          <w:szCs w:val="24"/>
        </w:rPr>
      </w:pPr>
      <w:r>
        <w:rPr>
          <w:sz w:val="24"/>
          <w:szCs w:val="24"/>
        </w:rPr>
        <w:t>LGD контрагента определяется согласно Таблице 1 (в качестве оценки по рейтингу берется максимальный из присвоенных рейтингов).</w:t>
      </w:r>
    </w:p>
    <w:p w14:paraId="03A54684" w14:textId="77777777" w:rsidR="000C1E0E" w:rsidRDefault="000C1E0E" w:rsidP="000C1E0E">
      <w:pPr>
        <w:autoSpaceDE w:val="0"/>
        <w:autoSpaceDN w:val="0"/>
        <w:spacing w:line="240" w:lineRule="auto"/>
        <w:rPr>
          <w:sz w:val="24"/>
          <w:szCs w:val="24"/>
        </w:rPr>
      </w:pPr>
      <w:r>
        <w:rPr>
          <w:sz w:val="24"/>
          <w:szCs w:val="24"/>
        </w:rPr>
        <w:t>2.2. В случае отсутствия у контрагента рейтингов агентств, указанных в п. 2.1., контрагенту присваивается внутренний рейтинг на основании итогового балла по контрагенту, рассчитанного как сумма баллов, указанных в Таблице 2 для соответствующего диапазона значений каждого рассчитанного коэффициента, взвешенных на соответствующий данному коэффициенту вес. Расчет предоставляется в специализированный депозитарий с приложением отчетности контрагента. Соответствие внутреннего рейтинга полученному итоговому баллу, а также рейтингу от агентства Standard &amp; Poor’s указано в Таблице 3. LGD контрагента определяется согласно Таблице 1.</w:t>
      </w:r>
    </w:p>
    <w:p w14:paraId="768EE933" w14:textId="77777777" w:rsidR="000C1E0E" w:rsidRDefault="000C1E0E" w:rsidP="000C1E0E">
      <w:pPr>
        <w:autoSpaceDE w:val="0"/>
        <w:autoSpaceDN w:val="0"/>
        <w:spacing w:line="240" w:lineRule="auto"/>
        <w:rPr>
          <w:sz w:val="24"/>
          <w:szCs w:val="24"/>
        </w:rPr>
      </w:pPr>
      <w:r>
        <w:rPr>
          <w:sz w:val="24"/>
          <w:szCs w:val="24"/>
        </w:rPr>
        <w:t>2.3. В случае, если денежные средства Компании размещены на обособленном счёте контрагента-брокера, LGD контрагента принимается равным 0%.</w:t>
      </w:r>
    </w:p>
    <w:p w14:paraId="63955305" w14:textId="77777777" w:rsidR="000C1E0E" w:rsidRDefault="000C1E0E" w:rsidP="000C1E0E">
      <w:pPr>
        <w:autoSpaceDE w:val="0"/>
        <w:autoSpaceDN w:val="0"/>
        <w:spacing w:line="240" w:lineRule="auto"/>
        <w:rPr>
          <w:sz w:val="24"/>
          <w:szCs w:val="24"/>
        </w:rPr>
      </w:pPr>
    </w:p>
    <w:p w14:paraId="729ECCA4" w14:textId="77777777" w:rsidR="000C1E0E" w:rsidRDefault="000C1E0E" w:rsidP="000C1E0E">
      <w:pPr>
        <w:autoSpaceDE w:val="0"/>
        <w:autoSpaceDN w:val="0"/>
        <w:spacing w:line="240" w:lineRule="auto"/>
        <w:rPr>
          <w:sz w:val="24"/>
          <w:szCs w:val="24"/>
        </w:rPr>
      </w:pPr>
    </w:p>
    <w:p w14:paraId="511DAA03" w14:textId="77777777" w:rsidR="000C1E0E" w:rsidRDefault="000C1E0E" w:rsidP="000C1E0E">
      <w:pPr>
        <w:keepNext/>
        <w:tabs>
          <w:tab w:val="left" w:pos="2977"/>
        </w:tabs>
        <w:suppressAutoHyphens/>
        <w:spacing w:line="240" w:lineRule="auto"/>
        <w:jc w:val="center"/>
        <w:outlineLvl w:val="2"/>
        <w:rPr>
          <w:sz w:val="24"/>
          <w:szCs w:val="24"/>
        </w:rPr>
      </w:pPr>
      <w:bookmarkStart w:id="2" w:name="_Toc469323112"/>
      <w:r>
        <w:rPr>
          <w:sz w:val="24"/>
          <w:szCs w:val="24"/>
        </w:rPr>
        <w:t>Таблица 1. Вероятность дефолта контрагента и величина потерь при банкротстве на основании кредитного рейтинга.</w:t>
      </w:r>
      <w:bookmarkEnd w:id="2"/>
    </w:p>
    <w:p w14:paraId="7A100748" w14:textId="27E5AEAC" w:rsidR="000C1E0E" w:rsidRDefault="000C1E0E" w:rsidP="000C1E0E">
      <w:pPr>
        <w:spacing w:after="120" w:line="240" w:lineRule="auto"/>
        <w:rPr>
          <w:sz w:val="24"/>
          <w:szCs w:val="24"/>
        </w:rPr>
      </w:pPr>
      <w:r>
        <w:rPr>
          <w:sz w:val="24"/>
          <w:szCs w:val="24"/>
        </w:rPr>
        <w:t xml:space="preserve">Таблица соответствия шкал рейтингов, используемых международными рейтинговыми агентствами и вероятностей дефолта. </w:t>
      </w:r>
    </w:p>
    <w:p w14:paraId="53F45F53" w14:textId="77777777" w:rsidR="000C1E0E" w:rsidRDefault="000C1E0E" w:rsidP="000C1E0E">
      <w:pPr>
        <w:spacing w:line="240" w:lineRule="auto"/>
        <w:rPr>
          <w:sz w:val="24"/>
          <w:szCs w:val="24"/>
        </w:rPr>
      </w:pPr>
    </w:p>
    <w:tbl>
      <w:tblPr>
        <w:tblW w:w="4929"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256"/>
        <w:gridCol w:w="1258"/>
        <w:gridCol w:w="1194"/>
        <w:gridCol w:w="1185"/>
        <w:gridCol w:w="1325"/>
        <w:gridCol w:w="1508"/>
        <w:gridCol w:w="1466"/>
      </w:tblGrid>
      <w:tr w:rsidR="000C1E0E" w14:paraId="5BF98D65" w14:textId="77777777" w:rsidTr="0098752B">
        <w:trPr>
          <w:trHeight w:val="340"/>
          <w:jc w:val="center"/>
        </w:trPr>
        <w:tc>
          <w:tcPr>
            <w:tcW w:w="1355" w:type="dxa"/>
            <w:tcBorders>
              <w:top w:val="single" w:sz="12" w:space="0" w:color="auto"/>
              <w:left w:val="single" w:sz="12" w:space="0" w:color="auto"/>
              <w:bottom w:val="single" w:sz="12" w:space="0" w:color="auto"/>
              <w:right w:val="single" w:sz="6" w:space="0" w:color="auto"/>
            </w:tcBorders>
            <w:shd w:val="pct20" w:color="C0C0C0" w:fill="auto"/>
            <w:vAlign w:val="center"/>
            <w:hideMark/>
          </w:tcPr>
          <w:p w14:paraId="60F9CAE4" w14:textId="77777777" w:rsidR="000C1E0E" w:rsidRDefault="000C1E0E" w:rsidP="0098752B">
            <w:pPr>
              <w:spacing w:line="240" w:lineRule="auto"/>
              <w:jc w:val="center"/>
              <w:rPr>
                <w:sz w:val="24"/>
                <w:szCs w:val="24"/>
              </w:rPr>
            </w:pPr>
            <w:r>
              <w:rPr>
                <w:sz w:val="24"/>
                <w:szCs w:val="24"/>
              </w:rPr>
              <w:t>Standard &amp; Poor’s</w:t>
            </w:r>
          </w:p>
        </w:tc>
        <w:tc>
          <w:tcPr>
            <w:tcW w:w="1346" w:type="dxa"/>
            <w:tcBorders>
              <w:top w:val="single" w:sz="12" w:space="0" w:color="auto"/>
              <w:left w:val="single" w:sz="6" w:space="0" w:color="auto"/>
              <w:bottom w:val="single" w:sz="12" w:space="0" w:color="auto"/>
              <w:right w:val="single" w:sz="6" w:space="0" w:color="auto"/>
            </w:tcBorders>
            <w:shd w:val="pct20" w:color="C0C0C0" w:fill="auto"/>
            <w:vAlign w:val="center"/>
            <w:hideMark/>
          </w:tcPr>
          <w:p w14:paraId="69E98190" w14:textId="77777777" w:rsidR="000C1E0E" w:rsidRDefault="000C1E0E" w:rsidP="0098752B">
            <w:pPr>
              <w:spacing w:line="240" w:lineRule="auto"/>
              <w:jc w:val="center"/>
              <w:rPr>
                <w:sz w:val="24"/>
                <w:szCs w:val="24"/>
              </w:rPr>
            </w:pPr>
            <w:r>
              <w:rPr>
                <w:sz w:val="24"/>
                <w:szCs w:val="24"/>
              </w:rPr>
              <w:t>Moody’s Investors Service</w:t>
            </w:r>
          </w:p>
        </w:tc>
        <w:tc>
          <w:tcPr>
            <w:tcW w:w="1326" w:type="dxa"/>
            <w:tcBorders>
              <w:top w:val="single" w:sz="12" w:space="0" w:color="auto"/>
              <w:left w:val="single" w:sz="6" w:space="0" w:color="auto"/>
              <w:bottom w:val="single" w:sz="12" w:space="0" w:color="auto"/>
              <w:right w:val="single" w:sz="6" w:space="0" w:color="auto"/>
            </w:tcBorders>
            <w:shd w:val="pct20" w:color="C0C0C0" w:fill="auto"/>
            <w:vAlign w:val="center"/>
            <w:hideMark/>
          </w:tcPr>
          <w:p w14:paraId="3E1C715E" w14:textId="77777777" w:rsidR="000C1E0E" w:rsidRDefault="000C1E0E" w:rsidP="0098752B">
            <w:pPr>
              <w:spacing w:line="240" w:lineRule="auto"/>
              <w:jc w:val="center"/>
              <w:rPr>
                <w:sz w:val="24"/>
                <w:szCs w:val="24"/>
              </w:rPr>
            </w:pPr>
            <w:r>
              <w:rPr>
                <w:sz w:val="24"/>
                <w:szCs w:val="24"/>
              </w:rPr>
              <w:t>Fitch Ratings</w:t>
            </w:r>
          </w:p>
        </w:tc>
        <w:tc>
          <w:tcPr>
            <w:tcW w:w="1268" w:type="dxa"/>
            <w:tcBorders>
              <w:top w:val="single" w:sz="12" w:space="0" w:color="auto"/>
              <w:left w:val="single" w:sz="6" w:space="0" w:color="auto"/>
              <w:bottom w:val="single" w:sz="12" w:space="0" w:color="auto"/>
              <w:right w:val="single" w:sz="6" w:space="0" w:color="auto"/>
            </w:tcBorders>
            <w:shd w:val="pct20" w:color="C0C0C0" w:fill="auto"/>
            <w:vAlign w:val="center"/>
            <w:hideMark/>
          </w:tcPr>
          <w:p w14:paraId="6435E6E2" w14:textId="77777777" w:rsidR="000C1E0E" w:rsidRDefault="000C1E0E" w:rsidP="0098752B">
            <w:pPr>
              <w:spacing w:line="240" w:lineRule="auto"/>
              <w:jc w:val="center"/>
              <w:rPr>
                <w:sz w:val="24"/>
                <w:szCs w:val="24"/>
              </w:rPr>
            </w:pPr>
            <w:r>
              <w:rPr>
                <w:sz w:val="24"/>
                <w:szCs w:val="24"/>
              </w:rPr>
              <w:t>эксперт ра</w:t>
            </w:r>
          </w:p>
        </w:tc>
        <w:tc>
          <w:tcPr>
            <w:tcW w:w="1268" w:type="dxa"/>
            <w:tcBorders>
              <w:top w:val="single" w:sz="12" w:space="0" w:color="auto"/>
              <w:left w:val="single" w:sz="6" w:space="0" w:color="auto"/>
              <w:bottom w:val="single" w:sz="12" w:space="0" w:color="auto"/>
              <w:right w:val="single" w:sz="6" w:space="0" w:color="auto"/>
            </w:tcBorders>
            <w:shd w:val="pct20" w:color="C0C0C0" w:fill="auto"/>
            <w:vAlign w:val="center"/>
            <w:hideMark/>
          </w:tcPr>
          <w:p w14:paraId="02E74DBD" w14:textId="77777777" w:rsidR="000C1E0E" w:rsidRDefault="000C1E0E" w:rsidP="0098752B">
            <w:pPr>
              <w:spacing w:line="240" w:lineRule="auto"/>
              <w:jc w:val="center"/>
              <w:rPr>
                <w:sz w:val="24"/>
                <w:szCs w:val="24"/>
              </w:rPr>
            </w:pPr>
            <w:r>
              <w:rPr>
                <w:sz w:val="24"/>
                <w:szCs w:val="24"/>
              </w:rPr>
              <w:t>АКРА</w:t>
            </w:r>
          </w:p>
        </w:tc>
        <w:tc>
          <w:tcPr>
            <w:tcW w:w="1449" w:type="dxa"/>
            <w:tcBorders>
              <w:top w:val="single" w:sz="12" w:space="0" w:color="auto"/>
              <w:left w:val="single" w:sz="6" w:space="0" w:color="auto"/>
              <w:bottom w:val="single" w:sz="12" w:space="0" w:color="auto"/>
              <w:right w:val="single" w:sz="6" w:space="0" w:color="auto"/>
            </w:tcBorders>
            <w:shd w:val="pct20" w:color="C0C0C0" w:fill="auto"/>
            <w:vAlign w:val="center"/>
            <w:hideMark/>
          </w:tcPr>
          <w:p w14:paraId="7E9DF2C5" w14:textId="77777777" w:rsidR="000C1E0E" w:rsidRDefault="000C1E0E" w:rsidP="0098752B">
            <w:pPr>
              <w:spacing w:line="240" w:lineRule="auto"/>
              <w:jc w:val="center"/>
              <w:rPr>
                <w:sz w:val="24"/>
                <w:szCs w:val="24"/>
              </w:rPr>
            </w:pPr>
            <w:r>
              <w:rPr>
                <w:sz w:val="24"/>
                <w:szCs w:val="24"/>
              </w:rPr>
              <w:t>Вероятность дефолта (PD)</w:t>
            </w:r>
          </w:p>
        </w:tc>
        <w:tc>
          <w:tcPr>
            <w:tcW w:w="1423" w:type="dxa"/>
            <w:tcBorders>
              <w:top w:val="single" w:sz="12" w:space="0" w:color="auto"/>
              <w:left w:val="single" w:sz="6" w:space="0" w:color="auto"/>
              <w:bottom w:val="single" w:sz="12" w:space="0" w:color="auto"/>
              <w:right w:val="single" w:sz="12" w:space="0" w:color="auto"/>
            </w:tcBorders>
            <w:shd w:val="pct20" w:color="C0C0C0" w:fill="auto"/>
            <w:vAlign w:val="center"/>
            <w:hideMark/>
          </w:tcPr>
          <w:p w14:paraId="0C7768BB" w14:textId="77777777" w:rsidR="000C1E0E" w:rsidRDefault="000C1E0E" w:rsidP="0098752B">
            <w:pPr>
              <w:spacing w:line="240" w:lineRule="auto"/>
              <w:jc w:val="center"/>
              <w:rPr>
                <w:sz w:val="24"/>
                <w:szCs w:val="24"/>
              </w:rPr>
            </w:pPr>
            <w:r>
              <w:rPr>
                <w:sz w:val="24"/>
                <w:szCs w:val="24"/>
              </w:rPr>
              <w:t>потери при банкротстве (LGD)</w:t>
            </w:r>
          </w:p>
        </w:tc>
      </w:tr>
      <w:tr w:rsidR="000C1E0E" w14:paraId="39B65F1D" w14:textId="77777777" w:rsidTr="0098752B">
        <w:trPr>
          <w:trHeight w:val="340"/>
          <w:jc w:val="center"/>
        </w:trPr>
        <w:tc>
          <w:tcPr>
            <w:tcW w:w="1355" w:type="dxa"/>
            <w:tcBorders>
              <w:top w:val="single" w:sz="12" w:space="0" w:color="auto"/>
              <w:left w:val="single" w:sz="12" w:space="0" w:color="auto"/>
              <w:bottom w:val="single" w:sz="6" w:space="0" w:color="auto"/>
              <w:right w:val="single" w:sz="6" w:space="0" w:color="auto"/>
            </w:tcBorders>
            <w:vAlign w:val="center"/>
            <w:hideMark/>
          </w:tcPr>
          <w:p w14:paraId="0FB25621" w14:textId="77777777" w:rsidR="000C1E0E" w:rsidRDefault="000C1E0E" w:rsidP="0098752B">
            <w:pPr>
              <w:spacing w:line="240" w:lineRule="auto"/>
              <w:jc w:val="center"/>
              <w:rPr>
                <w:sz w:val="24"/>
                <w:szCs w:val="24"/>
              </w:rPr>
            </w:pPr>
            <w:r>
              <w:rPr>
                <w:sz w:val="24"/>
                <w:szCs w:val="24"/>
              </w:rPr>
              <w:t>AAA</w:t>
            </w:r>
          </w:p>
        </w:tc>
        <w:tc>
          <w:tcPr>
            <w:tcW w:w="1346" w:type="dxa"/>
            <w:tcBorders>
              <w:top w:val="single" w:sz="12" w:space="0" w:color="auto"/>
              <w:left w:val="single" w:sz="6" w:space="0" w:color="auto"/>
              <w:bottom w:val="single" w:sz="6" w:space="0" w:color="auto"/>
              <w:right w:val="single" w:sz="6" w:space="0" w:color="auto"/>
            </w:tcBorders>
            <w:vAlign w:val="center"/>
            <w:hideMark/>
          </w:tcPr>
          <w:p w14:paraId="479EDBD2" w14:textId="77777777" w:rsidR="000C1E0E" w:rsidRDefault="000C1E0E" w:rsidP="0098752B">
            <w:pPr>
              <w:spacing w:line="240" w:lineRule="auto"/>
              <w:jc w:val="center"/>
              <w:rPr>
                <w:sz w:val="24"/>
                <w:szCs w:val="24"/>
              </w:rPr>
            </w:pPr>
            <w:r>
              <w:rPr>
                <w:sz w:val="24"/>
                <w:szCs w:val="24"/>
              </w:rPr>
              <w:t>Aaa</w:t>
            </w:r>
          </w:p>
        </w:tc>
        <w:tc>
          <w:tcPr>
            <w:tcW w:w="1326" w:type="dxa"/>
            <w:tcBorders>
              <w:top w:val="single" w:sz="12" w:space="0" w:color="auto"/>
              <w:left w:val="single" w:sz="6" w:space="0" w:color="auto"/>
              <w:bottom w:val="single" w:sz="6" w:space="0" w:color="auto"/>
              <w:right w:val="single" w:sz="6" w:space="0" w:color="auto"/>
            </w:tcBorders>
            <w:vAlign w:val="center"/>
            <w:hideMark/>
          </w:tcPr>
          <w:p w14:paraId="3463EB18" w14:textId="77777777" w:rsidR="000C1E0E" w:rsidRDefault="000C1E0E" w:rsidP="0098752B">
            <w:pPr>
              <w:spacing w:line="240" w:lineRule="auto"/>
              <w:jc w:val="center"/>
              <w:rPr>
                <w:sz w:val="24"/>
                <w:szCs w:val="24"/>
              </w:rPr>
            </w:pPr>
            <w:r>
              <w:rPr>
                <w:sz w:val="24"/>
                <w:szCs w:val="24"/>
              </w:rPr>
              <w:t>AAA</w:t>
            </w:r>
          </w:p>
        </w:tc>
        <w:tc>
          <w:tcPr>
            <w:tcW w:w="1268" w:type="dxa"/>
            <w:tcBorders>
              <w:top w:val="single" w:sz="12" w:space="0" w:color="auto"/>
              <w:left w:val="single" w:sz="6" w:space="0" w:color="auto"/>
              <w:bottom w:val="single" w:sz="6" w:space="0" w:color="auto"/>
              <w:right w:val="single" w:sz="6" w:space="0" w:color="auto"/>
            </w:tcBorders>
            <w:vAlign w:val="center"/>
          </w:tcPr>
          <w:p w14:paraId="783ECF75" w14:textId="77777777" w:rsidR="000C1E0E" w:rsidRDefault="000C1E0E" w:rsidP="0098752B">
            <w:pPr>
              <w:spacing w:line="240" w:lineRule="auto"/>
              <w:jc w:val="center"/>
              <w:rPr>
                <w:sz w:val="24"/>
                <w:szCs w:val="24"/>
              </w:rPr>
            </w:pPr>
          </w:p>
        </w:tc>
        <w:tc>
          <w:tcPr>
            <w:tcW w:w="1268" w:type="dxa"/>
            <w:tcBorders>
              <w:top w:val="single" w:sz="12" w:space="0" w:color="auto"/>
              <w:left w:val="single" w:sz="6" w:space="0" w:color="auto"/>
              <w:bottom w:val="single" w:sz="6" w:space="0" w:color="auto"/>
              <w:right w:val="single" w:sz="6" w:space="0" w:color="auto"/>
            </w:tcBorders>
            <w:vAlign w:val="center"/>
          </w:tcPr>
          <w:p w14:paraId="1CA9B03F" w14:textId="77777777" w:rsidR="000C1E0E" w:rsidRDefault="000C1E0E" w:rsidP="0098752B">
            <w:pPr>
              <w:spacing w:line="240" w:lineRule="auto"/>
              <w:jc w:val="center"/>
              <w:rPr>
                <w:sz w:val="24"/>
                <w:szCs w:val="24"/>
              </w:rPr>
            </w:pPr>
          </w:p>
        </w:tc>
        <w:tc>
          <w:tcPr>
            <w:tcW w:w="1449" w:type="dxa"/>
            <w:tcBorders>
              <w:top w:val="single" w:sz="12" w:space="0" w:color="auto"/>
              <w:left w:val="single" w:sz="6" w:space="0" w:color="auto"/>
              <w:bottom w:val="single" w:sz="6" w:space="0" w:color="auto"/>
              <w:right w:val="single" w:sz="6" w:space="0" w:color="auto"/>
            </w:tcBorders>
            <w:vAlign w:val="center"/>
            <w:hideMark/>
          </w:tcPr>
          <w:p w14:paraId="34DB1437" w14:textId="77777777" w:rsidR="000C1E0E" w:rsidRDefault="000C1E0E" w:rsidP="0098752B">
            <w:pPr>
              <w:spacing w:line="240" w:lineRule="auto"/>
              <w:jc w:val="center"/>
              <w:rPr>
                <w:sz w:val="24"/>
                <w:szCs w:val="24"/>
              </w:rPr>
            </w:pPr>
            <w:r>
              <w:rPr>
                <w:sz w:val="24"/>
                <w:szCs w:val="24"/>
              </w:rPr>
              <w:t>0,01%</w:t>
            </w:r>
          </w:p>
        </w:tc>
        <w:tc>
          <w:tcPr>
            <w:tcW w:w="1423" w:type="dxa"/>
            <w:tcBorders>
              <w:top w:val="single" w:sz="12" w:space="0" w:color="auto"/>
              <w:left w:val="single" w:sz="6" w:space="0" w:color="auto"/>
              <w:bottom w:val="single" w:sz="6" w:space="0" w:color="auto"/>
              <w:right w:val="single" w:sz="12" w:space="0" w:color="auto"/>
            </w:tcBorders>
            <w:vAlign w:val="center"/>
            <w:hideMark/>
          </w:tcPr>
          <w:p w14:paraId="53A345B7" w14:textId="77777777" w:rsidR="000C1E0E" w:rsidRDefault="000C1E0E" w:rsidP="0098752B">
            <w:pPr>
              <w:spacing w:line="240" w:lineRule="auto"/>
              <w:jc w:val="center"/>
              <w:rPr>
                <w:sz w:val="24"/>
                <w:szCs w:val="24"/>
              </w:rPr>
            </w:pPr>
            <w:r>
              <w:rPr>
                <w:sz w:val="24"/>
                <w:szCs w:val="24"/>
              </w:rPr>
              <w:t>55%</w:t>
            </w:r>
          </w:p>
        </w:tc>
      </w:tr>
      <w:tr w:rsidR="000C1E0E" w14:paraId="42A439F8" w14:textId="77777777" w:rsidTr="0098752B">
        <w:trPr>
          <w:trHeight w:val="340"/>
          <w:jc w:val="center"/>
        </w:trPr>
        <w:tc>
          <w:tcPr>
            <w:tcW w:w="1355" w:type="dxa"/>
            <w:tcBorders>
              <w:top w:val="single" w:sz="6" w:space="0" w:color="auto"/>
              <w:left w:val="single" w:sz="12" w:space="0" w:color="auto"/>
              <w:bottom w:val="single" w:sz="6" w:space="0" w:color="auto"/>
              <w:right w:val="single" w:sz="6" w:space="0" w:color="auto"/>
            </w:tcBorders>
            <w:vAlign w:val="center"/>
            <w:hideMark/>
          </w:tcPr>
          <w:p w14:paraId="246BA903" w14:textId="77777777" w:rsidR="000C1E0E" w:rsidRDefault="000C1E0E" w:rsidP="0098752B">
            <w:pPr>
              <w:spacing w:line="240" w:lineRule="auto"/>
              <w:jc w:val="center"/>
              <w:rPr>
                <w:sz w:val="24"/>
                <w:szCs w:val="24"/>
              </w:rPr>
            </w:pPr>
            <w:r>
              <w:rPr>
                <w:sz w:val="24"/>
                <w:szCs w:val="24"/>
              </w:rPr>
              <w:t>AA+</w:t>
            </w:r>
          </w:p>
        </w:tc>
        <w:tc>
          <w:tcPr>
            <w:tcW w:w="1346" w:type="dxa"/>
            <w:tcBorders>
              <w:top w:val="single" w:sz="6" w:space="0" w:color="auto"/>
              <w:left w:val="single" w:sz="6" w:space="0" w:color="auto"/>
              <w:bottom w:val="single" w:sz="6" w:space="0" w:color="auto"/>
              <w:right w:val="single" w:sz="6" w:space="0" w:color="auto"/>
            </w:tcBorders>
            <w:vAlign w:val="center"/>
            <w:hideMark/>
          </w:tcPr>
          <w:p w14:paraId="513FAAE3" w14:textId="77777777" w:rsidR="000C1E0E" w:rsidRDefault="000C1E0E" w:rsidP="0098752B">
            <w:pPr>
              <w:spacing w:line="240" w:lineRule="auto"/>
              <w:jc w:val="center"/>
              <w:rPr>
                <w:sz w:val="24"/>
                <w:szCs w:val="24"/>
              </w:rPr>
            </w:pPr>
            <w:r>
              <w:rPr>
                <w:sz w:val="24"/>
                <w:szCs w:val="24"/>
              </w:rPr>
              <w:t>Aa1</w:t>
            </w:r>
          </w:p>
        </w:tc>
        <w:tc>
          <w:tcPr>
            <w:tcW w:w="1326" w:type="dxa"/>
            <w:tcBorders>
              <w:top w:val="single" w:sz="6" w:space="0" w:color="auto"/>
              <w:left w:val="single" w:sz="6" w:space="0" w:color="auto"/>
              <w:bottom w:val="single" w:sz="6" w:space="0" w:color="auto"/>
              <w:right w:val="single" w:sz="6" w:space="0" w:color="auto"/>
            </w:tcBorders>
            <w:vAlign w:val="center"/>
            <w:hideMark/>
          </w:tcPr>
          <w:p w14:paraId="128B954B" w14:textId="77777777" w:rsidR="000C1E0E" w:rsidRDefault="000C1E0E" w:rsidP="0098752B">
            <w:pPr>
              <w:spacing w:line="240" w:lineRule="auto"/>
              <w:jc w:val="center"/>
              <w:rPr>
                <w:sz w:val="24"/>
                <w:szCs w:val="24"/>
              </w:rPr>
            </w:pPr>
            <w:r>
              <w:rPr>
                <w:sz w:val="24"/>
                <w:szCs w:val="24"/>
              </w:rPr>
              <w:t>AA+</w:t>
            </w:r>
          </w:p>
        </w:tc>
        <w:tc>
          <w:tcPr>
            <w:tcW w:w="1268" w:type="dxa"/>
            <w:tcBorders>
              <w:top w:val="single" w:sz="6" w:space="0" w:color="auto"/>
              <w:left w:val="single" w:sz="6" w:space="0" w:color="auto"/>
              <w:bottom w:val="single" w:sz="6" w:space="0" w:color="auto"/>
              <w:right w:val="single" w:sz="6" w:space="0" w:color="auto"/>
            </w:tcBorders>
            <w:vAlign w:val="center"/>
          </w:tcPr>
          <w:p w14:paraId="0FEB1506" w14:textId="77777777" w:rsidR="000C1E0E" w:rsidRDefault="000C1E0E" w:rsidP="0098752B">
            <w:pPr>
              <w:spacing w:line="240" w:lineRule="auto"/>
              <w:jc w:val="center"/>
              <w:rPr>
                <w:sz w:val="24"/>
                <w:szCs w:val="24"/>
              </w:rPr>
            </w:pPr>
          </w:p>
        </w:tc>
        <w:tc>
          <w:tcPr>
            <w:tcW w:w="1268" w:type="dxa"/>
            <w:tcBorders>
              <w:top w:val="single" w:sz="6" w:space="0" w:color="auto"/>
              <w:left w:val="single" w:sz="6" w:space="0" w:color="auto"/>
              <w:bottom w:val="single" w:sz="6" w:space="0" w:color="auto"/>
              <w:right w:val="single" w:sz="6" w:space="0" w:color="auto"/>
            </w:tcBorders>
            <w:vAlign w:val="center"/>
          </w:tcPr>
          <w:p w14:paraId="48923230" w14:textId="77777777" w:rsidR="000C1E0E" w:rsidRDefault="000C1E0E" w:rsidP="0098752B">
            <w:pPr>
              <w:spacing w:line="240" w:lineRule="auto"/>
              <w:jc w:val="center"/>
              <w:rPr>
                <w:sz w:val="24"/>
                <w:szCs w:val="24"/>
              </w:rPr>
            </w:pPr>
          </w:p>
        </w:tc>
        <w:tc>
          <w:tcPr>
            <w:tcW w:w="1449" w:type="dxa"/>
            <w:tcBorders>
              <w:top w:val="single" w:sz="6" w:space="0" w:color="auto"/>
              <w:left w:val="single" w:sz="6" w:space="0" w:color="auto"/>
              <w:bottom w:val="single" w:sz="6" w:space="0" w:color="auto"/>
              <w:right w:val="single" w:sz="6" w:space="0" w:color="auto"/>
            </w:tcBorders>
            <w:vAlign w:val="center"/>
            <w:hideMark/>
          </w:tcPr>
          <w:p w14:paraId="2B9C3F52" w14:textId="77777777" w:rsidR="000C1E0E" w:rsidRDefault="000C1E0E" w:rsidP="0098752B">
            <w:pPr>
              <w:spacing w:line="240" w:lineRule="auto"/>
              <w:jc w:val="center"/>
              <w:rPr>
                <w:sz w:val="24"/>
                <w:szCs w:val="24"/>
              </w:rPr>
            </w:pPr>
            <w:r>
              <w:rPr>
                <w:sz w:val="24"/>
                <w:szCs w:val="24"/>
              </w:rPr>
              <w:t>0,01%</w:t>
            </w:r>
          </w:p>
        </w:tc>
        <w:tc>
          <w:tcPr>
            <w:tcW w:w="1423" w:type="dxa"/>
            <w:tcBorders>
              <w:top w:val="single" w:sz="6" w:space="0" w:color="auto"/>
              <w:left w:val="single" w:sz="6" w:space="0" w:color="auto"/>
              <w:bottom w:val="single" w:sz="6" w:space="0" w:color="auto"/>
              <w:right w:val="single" w:sz="12" w:space="0" w:color="auto"/>
            </w:tcBorders>
            <w:vAlign w:val="center"/>
            <w:hideMark/>
          </w:tcPr>
          <w:p w14:paraId="2435E523" w14:textId="77777777" w:rsidR="000C1E0E" w:rsidRDefault="000C1E0E" w:rsidP="0098752B">
            <w:pPr>
              <w:spacing w:line="240" w:lineRule="auto"/>
              <w:jc w:val="center"/>
              <w:rPr>
                <w:sz w:val="24"/>
                <w:szCs w:val="24"/>
              </w:rPr>
            </w:pPr>
            <w:r>
              <w:rPr>
                <w:sz w:val="24"/>
                <w:szCs w:val="24"/>
              </w:rPr>
              <w:t>55%</w:t>
            </w:r>
          </w:p>
        </w:tc>
      </w:tr>
      <w:tr w:rsidR="000C1E0E" w14:paraId="2890C7F9" w14:textId="77777777" w:rsidTr="0098752B">
        <w:trPr>
          <w:trHeight w:val="340"/>
          <w:jc w:val="center"/>
        </w:trPr>
        <w:tc>
          <w:tcPr>
            <w:tcW w:w="1355" w:type="dxa"/>
            <w:tcBorders>
              <w:top w:val="single" w:sz="6" w:space="0" w:color="auto"/>
              <w:left w:val="single" w:sz="12" w:space="0" w:color="auto"/>
              <w:bottom w:val="single" w:sz="6" w:space="0" w:color="auto"/>
              <w:right w:val="single" w:sz="6" w:space="0" w:color="auto"/>
            </w:tcBorders>
            <w:vAlign w:val="center"/>
            <w:hideMark/>
          </w:tcPr>
          <w:p w14:paraId="3150B929" w14:textId="77777777" w:rsidR="000C1E0E" w:rsidRDefault="000C1E0E" w:rsidP="0098752B">
            <w:pPr>
              <w:spacing w:line="240" w:lineRule="auto"/>
              <w:jc w:val="center"/>
              <w:rPr>
                <w:sz w:val="24"/>
                <w:szCs w:val="24"/>
              </w:rPr>
            </w:pPr>
            <w:r>
              <w:rPr>
                <w:sz w:val="24"/>
                <w:szCs w:val="24"/>
              </w:rPr>
              <w:t>AA</w:t>
            </w:r>
          </w:p>
        </w:tc>
        <w:tc>
          <w:tcPr>
            <w:tcW w:w="1346" w:type="dxa"/>
            <w:tcBorders>
              <w:top w:val="single" w:sz="6" w:space="0" w:color="auto"/>
              <w:left w:val="single" w:sz="6" w:space="0" w:color="auto"/>
              <w:bottom w:val="single" w:sz="6" w:space="0" w:color="auto"/>
              <w:right w:val="single" w:sz="6" w:space="0" w:color="auto"/>
            </w:tcBorders>
            <w:vAlign w:val="center"/>
            <w:hideMark/>
          </w:tcPr>
          <w:p w14:paraId="00DC1A1D" w14:textId="77777777" w:rsidR="000C1E0E" w:rsidRDefault="000C1E0E" w:rsidP="0098752B">
            <w:pPr>
              <w:spacing w:line="240" w:lineRule="auto"/>
              <w:jc w:val="center"/>
              <w:rPr>
                <w:sz w:val="24"/>
                <w:szCs w:val="24"/>
              </w:rPr>
            </w:pPr>
            <w:r>
              <w:rPr>
                <w:sz w:val="24"/>
                <w:szCs w:val="24"/>
              </w:rPr>
              <w:t>Aa2</w:t>
            </w:r>
          </w:p>
        </w:tc>
        <w:tc>
          <w:tcPr>
            <w:tcW w:w="1326" w:type="dxa"/>
            <w:tcBorders>
              <w:top w:val="single" w:sz="6" w:space="0" w:color="auto"/>
              <w:left w:val="single" w:sz="6" w:space="0" w:color="auto"/>
              <w:bottom w:val="single" w:sz="6" w:space="0" w:color="auto"/>
              <w:right w:val="single" w:sz="6" w:space="0" w:color="auto"/>
            </w:tcBorders>
            <w:vAlign w:val="center"/>
            <w:hideMark/>
          </w:tcPr>
          <w:p w14:paraId="16E27133" w14:textId="77777777" w:rsidR="000C1E0E" w:rsidRDefault="000C1E0E" w:rsidP="0098752B">
            <w:pPr>
              <w:spacing w:line="240" w:lineRule="auto"/>
              <w:jc w:val="center"/>
              <w:rPr>
                <w:sz w:val="24"/>
                <w:szCs w:val="24"/>
              </w:rPr>
            </w:pPr>
            <w:r>
              <w:rPr>
                <w:sz w:val="24"/>
                <w:szCs w:val="24"/>
              </w:rPr>
              <w:t>AA</w:t>
            </w:r>
          </w:p>
        </w:tc>
        <w:tc>
          <w:tcPr>
            <w:tcW w:w="1268" w:type="dxa"/>
            <w:tcBorders>
              <w:top w:val="single" w:sz="6" w:space="0" w:color="auto"/>
              <w:left w:val="single" w:sz="6" w:space="0" w:color="auto"/>
              <w:bottom w:val="single" w:sz="6" w:space="0" w:color="auto"/>
              <w:right w:val="single" w:sz="6" w:space="0" w:color="auto"/>
            </w:tcBorders>
            <w:vAlign w:val="center"/>
          </w:tcPr>
          <w:p w14:paraId="081D80E2" w14:textId="77777777" w:rsidR="000C1E0E" w:rsidRDefault="000C1E0E" w:rsidP="0098752B">
            <w:pPr>
              <w:spacing w:line="240" w:lineRule="auto"/>
              <w:jc w:val="center"/>
              <w:rPr>
                <w:sz w:val="24"/>
                <w:szCs w:val="24"/>
              </w:rPr>
            </w:pPr>
          </w:p>
        </w:tc>
        <w:tc>
          <w:tcPr>
            <w:tcW w:w="1268" w:type="dxa"/>
            <w:tcBorders>
              <w:top w:val="single" w:sz="6" w:space="0" w:color="auto"/>
              <w:left w:val="single" w:sz="6" w:space="0" w:color="auto"/>
              <w:bottom w:val="single" w:sz="6" w:space="0" w:color="auto"/>
              <w:right w:val="single" w:sz="6" w:space="0" w:color="auto"/>
            </w:tcBorders>
            <w:vAlign w:val="center"/>
          </w:tcPr>
          <w:p w14:paraId="6EE6046D" w14:textId="77777777" w:rsidR="000C1E0E" w:rsidRDefault="000C1E0E" w:rsidP="0098752B">
            <w:pPr>
              <w:spacing w:line="240" w:lineRule="auto"/>
              <w:jc w:val="center"/>
              <w:rPr>
                <w:sz w:val="24"/>
                <w:szCs w:val="24"/>
              </w:rPr>
            </w:pPr>
          </w:p>
        </w:tc>
        <w:tc>
          <w:tcPr>
            <w:tcW w:w="1449" w:type="dxa"/>
            <w:tcBorders>
              <w:top w:val="single" w:sz="6" w:space="0" w:color="auto"/>
              <w:left w:val="single" w:sz="6" w:space="0" w:color="auto"/>
              <w:bottom w:val="single" w:sz="6" w:space="0" w:color="auto"/>
              <w:right w:val="single" w:sz="6" w:space="0" w:color="auto"/>
            </w:tcBorders>
            <w:vAlign w:val="center"/>
            <w:hideMark/>
          </w:tcPr>
          <w:p w14:paraId="0944B323" w14:textId="77777777" w:rsidR="000C1E0E" w:rsidRDefault="000C1E0E" w:rsidP="0098752B">
            <w:pPr>
              <w:spacing w:line="240" w:lineRule="auto"/>
              <w:jc w:val="center"/>
              <w:rPr>
                <w:sz w:val="24"/>
                <w:szCs w:val="24"/>
              </w:rPr>
            </w:pPr>
            <w:r>
              <w:rPr>
                <w:sz w:val="24"/>
                <w:szCs w:val="24"/>
              </w:rPr>
              <w:t>0,02%</w:t>
            </w:r>
          </w:p>
        </w:tc>
        <w:tc>
          <w:tcPr>
            <w:tcW w:w="1423" w:type="dxa"/>
            <w:tcBorders>
              <w:top w:val="single" w:sz="6" w:space="0" w:color="auto"/>
              <w:left w:val="single" w:sz="6" w:space="0" w:color="auto"/>
              <w:bottom w:val="single" w:sz="6" w:space="0" w:color="auto"/>
              <w:right w:val="single" w:sz="12" w:space="0" w:color="auto"/>
            </w:tcBorders>
            <w:vAlign w:val="center"/>
            <w:hideMark/>
          </w:tcPr>
          <w:p w14:paraId="2B99063B" w14:textId="77777777" w:rsidR="000C1E0E" w:rsidRDefault="000C1E0E" w:rsidP="0098752B">
            <w:pPr>
              <w:spacing w:line="240" w:lineRule="auto"/>
              <w:jc w:val="center"/>
              <w:rPr>
                <w:sz w:val="24"/>
                <w:szCs w:val="24"/>
              </w:rPr>
            </w:pPr>
            <w:r>
              <w:rPr>
                <w:sz w:val="24"/>
                <w:szCs w:val="24"/>
              </w:rPr>
              <w:t>55%</w:t>
            </w:r>
          </w:p>
        </w:tc>
      </w:tr>
      <w:tr w:rsidR="000C1E0E" w14:paraId="2E051453" w14:textId="77777777" w:rsidTr="0098752B">
        <w:trPr>
          <w:trHeight w:val="340"/>
          <w:jc w:val="center"/>
        </w:trPr>
        <w:tc>
          <w:tcPr>
            <w:tcW w:w="1355" w:type="dxa"/>
            <w:tcBorders>
              <w:top w:val="single" w:sz="6" w:space="0" w:color="auto"/>
              <w:left w:val="single" w:sz="12" w:space="0" w:color="auto"/>
              <w:bottom w:val="single" w:sz="6" w:space="0" w:color="auto"/>
              <w:right w:val="single" w:sz="6" w:space="0" w:color="auto"/>
            </w:tcBorders>
            <w:vAlign w:val="center"/>
            <w:hideMark/>
          </w:tcPr>
          <w:p w14:paraId="55545A52" w14:textId="77777777" w:rsidR="000C1E0E" w:rsidRDefault="000C1E0E" w:rsidP="0098752B">
            <w:pPr>
              <w:spacing w:line="240" w:lineRule="auto"/>
              <w:jc w:val="center"/>
              <w:rPr>
                <w:sz w:val="24"/>
                <w:szCs w:val="24"/>
              </w:rPr>
            </w:pPr>
            <w:r>
              <w:rPr>
                <w:sz w:val="24"/>
                <w:szCs w:val="24"/>
              </w:rPr>
              <w:t>AA-</w:t>
            </w:r>
          </w:p>
        </w:tc>
        <w:tc>
          <w:tcPr>
            <w:tcW w:w="1346" w:type="dxa"/>
            <w:tcBorders>
              <w:top w:val="single" w:sz="6" w:space="0" w:color="auto"/>
              <w:left w:val="single" w:sz="6" w:space="0" w:color="auto"/>
              <w:bottom w:val="single" w:sz="6" w:space="0" w:color="auto"/>
              <w:right w:val="single" w:sz="6" w:space="0" w:color="auto"/>
            </w:tcBorders>
            <w:vAlign w:val="center"/>
            <w:hideMark/>
          </w:tcPr>
          <w:p w14:paraId="2019E4D7" w14:textId="77777777" w:rsidR="000C1E0E" w:rsidRDefault="000C1E0E" w:rsidP="0098752B">
            <w:pPr>
              <w:spacing w:line="240" w:lineRule="auto"/>
              <w:jc w:val="center"/>
              <w:rPr>
                <w:sz w:val="24"/>
                <w:szCs w:val="24"/>
              </w:rPr>
            </w:pPr>
            <w:r>
              <w:rPr>
                <w:sz w:val="24"/>
                <w:szCs w:val="24"/>
              </w:rPr>
              <w:t>Aa3</w:t>
            </w:r>
          </w:p>
        </w:tc>
        <w:tc>
          <w:tcPr>
            <w:tcW w:w="1326" w:type="dxa"/>
            <w:tcBorders>
              <w:top w:val="single" w:sz="6" w:space="0" w:color="auto"/>
              <w:left w:val="single" w:sz="6" w:space="0" w:color="auto"/>
              <w:bottom w:val="single" w:sz="6" w:space="0" w:color="auto"/>
              <w:right w:val="single" w:sz="6" w:space="0" w:color="auto"/>
            </w:tcBorders>
            <w:vAlign w:val="center"/>
            <w:hideMark/>
          </w:tcPr>
          <w:p w14:paraId="1C6CD8E9" w14:textId="77777777" w:rsidR="000C1E0E" w:rsidRDefault="000C1E0E" w:rsidP="0098752B">
            <w:pPr>
              <w:spacing w:line="240" w:lineRule="auto"/>
              <w:jc w:val="center"/>
              <w:rPr>
                <w:sz w:val="24"/>
                <w:szCs w:val="24"/>
              </w:rPr>
            </w:pPr>
            <w:r>
              <w:rPr>
                <w:sz w:val="24"/>
                <w:szCs w:val="24"/>
              </w:rPr>
              <w:t>AA-</w:t>
            </w:r>
          </w:p>
        </w:tc>
        <w:tc>
          <w:tcPr>
            <w:tcW w:w="1268" w:type="dxa"/>
            <w:tcBorders>
              <w:top w:val="single" w:sz="6" w:space="0" w:color="auto"/>
              <w:left w:val="single" w:sz="6" w:space="0" w:color="auto"/>
              <w:bottom w:val="single" w:sz="6" w:space="0" w:color="auto"/>
              <w:right w:val="single" w:sz="6" w:space="0" w:color="auto"/>
            </w:tcBorders>
            <w:vAlign w:val="center"/>
          </w:tcPr>
          <w:p w14:paraId="16CA1D17" w14:textId="77777777" w:rsidR="000C1E0E" w:rsidRDefault="000C1E0E" w:rsidP="0098752B">
            <w:pPr>
              <w:spacing w:line="240" w:lineRule="auto"/>
              <w:jc w:val="center"/>
              <w:rPr>
                <w:sz w:val="24"/>
                <w:szCs w:val="24"/>
              </w:rPr>
            </w:pPr>
          </w:p>
        </w:tc>
        <w:tc>
          <w:tcPr>
            <w:tcW w:w="1268" w:type="dxa"/>
            <w:tcBorders>
              <w:top w:val="single" w:sz="6" w:space="0" w:color="auto"/>
              <w:left w:val="single" w:sz="6" w:space="0" w:color="auto"/>
              <w:bottom w:val="single" w:sz="6" w:space="0" w:color="auto"/>
              <w:right w:val="single" w:sz="6" w:space="0" w:color="auto"/>
            </w:tcBorders>
            <w:vAlign w:val="center"/>
          </w:tcPr>
          <w:p w14:paraId="62CAC8E8" w14:textId="77777777" w:rsidR="000C1E0E" w:rsidRDefault="000C1E0E" w:rsidP="0098752B">
            <w:pPr>
              <w:spacing w:line="240" w:lineRule="auto"/>
              <w:jc w:val="center"/>
              <w:rPr>
                <w:sz w:val="24"/>
                <w:szCs w:val="24"/>
              </w:rPr>
            </w:pPr>
          </w:p>
        </w:tc>
        <w:tc>
          <w:tcPr>
            <w:tcW w:w="1449" w:type="dxa"/>
            <w:tcBorders>
              <w:top w:val="single" w:sz="6" w:space="0" w:color="auto"/>
              <w:left w:val="single" w:sz="6" w:space="0" w:color="auto"/>
              <w:bottom w:val="single" w:sz="6" w:space="0" w:color="auto"/>
              <w:right w:val="single" w:sz="6" w:space="0" w:color="auto"/>
            </w:tcBorders>
            <w:vAlign w:val="center"/>
            <w:hideMark/>
          </w:tcPr>
          <w:p w14:paraId="188A460C" w14:textId="77777777" w:rsidR="000C1E0E" w:rsidRDefault="000C1E0E" w:rsidP="0098752B">
            <w:pPr>
              <w:spacing w:line="240" w:lineRule="auto"/>
              <w:jc w:val="center"/>
              <w:rPr>
                <w:sz w:val="24"/>
                <w:szCs w:val="24"/>
              </w:rPr>
            </w:pPr>
            <w:r>
              <w:rPr>
                <w:sz w:val="24"/>
                <w:szCs w:val="24"/>
              </w:rPr>
              <w:t>0,02%</w:t>
            </w:r>
          </w:p>
        </w:tc>
        <w:tc>
          <w:tcPr>
            <w:tcW w:w="1423" w:type="dxa"/>
            <w:tcBorders>
              <w:top w:val="single" w:sz="6" w:space="0" w:color="auto"/>
              <w:left w:val="single" w:sz="6" w:space="0" w:color="auto"/>
              <w:bottom w:val="single" w:sz="6" w:space="0" w:color="auto"/>
              <w:right w:val="single" w:sz="12" w:space="0" w:color="auto"/>
            </w:tcBorders>
            <w:vAlign w:val="center"/>
            <w:hideMark/>
          </w:tcPr>
          <w:p w14:paraId="0BAE0511" w14:textId="77777777" w:rsidR="000C1E0E" w:rsidRDefault="000C1E0E" w:rsidP="0098752B">
            <w:pPr>
              <w:spacing w:line="240" w:lineRule="auto"/>
              <w:jc w:val="center"/>
              <w:rPr>
                <w:sz w:val="24"/>
                <w:szCs w:val="24"/>
              </w:rPr>
            </w:pPr>
            <w:r>
              <w:rPr>
                <w:sz w:val="24"/>
                <w:szCs w:val="24"/>
              </w:rPr>
              <w:t>55%</w:t>
            </w:r>
          </w:p>
        </w:tc>
      </w:tr>
      <w:tr w:rsidR="000C1E0E" w14:paraId="4B5A487A" w14:textId="77777777" w:rsidTr="0098752B">
        <w:trPr>
          <w:trHeight w:val="340"/>
          <w:jc w:val="center"/>
        </w:trPr>
        <w:tc>
          <w:tcPr>
            <w:tcW w:w="1355" w:type="dxa"/>
            <w:tcBorders>
              <w:top w:val="single" w:sz="6" w:space="0" w:color="auto"/>
              <w:left w:val="single" w:sz="12" w:space="0" w:color="auto"/>
              <w:bottom w:val="single" w:sz="6" w:space="0" w:color="auto"/>
              <w:right w:val="single" w:sz="6" w:space="0" w:color="auto"/>
            </w:tcBorders>
            <w:vAlign w:val="center"/>
            <w:hideMark/>
          </w:tcPr>
          <w:p w14:paraId="13E98201" w14:textId="77777777" w:rsidR="000C1E0E" w:rsidRDefault="000C1E0E" w:rsidP="0098752B">
            <w:pPr>
              <w:spacing w:line="240" w:lineRule="auto"/>
              <w:jc w:val="center"/>
              <w:rPr>
                <w:sz w:val="24"/>
                <w:szCs w:val="24"/>
              </w:rPr>
            </w:pPr>
            <w:r>
              <w:rPr>
                <w:sz w:val="24"/>
                <w:szCs w:val="24"/>
              </w:rPr>
              <w:t>A+</w:t>
            </w:r>
          </w:p>
        </w:tc>
        <w:tc>
          <w:tcPr>
            <w:tcW w:w="1346" w:type="dxa"/>
            <w:tcBorders>
              <w:top w:val="single" w:sz="6" w:space="0" w:color="auto"/>
              <w:left w:val="single" w:sz="6" w:space="0" w:color="auto"/>
              <w:bottom w:val="single" w:sz="6" w:space="0" w:color="auto"/>
              <w:right w:val="single" w:sz="6" w:space="0" w:color="auto"/>
            </w:tcBorders>
            <w:vAlign w:val="center"/>
            <w:hideMark/>
          </w:tcPr>
          <w:p w14:paraId="002D2FA4" w14:textId="77777777" w:rsidR="000C1E0E" w:rsidRDefault="000C1E0E" w:rsidP="0098752B">
            <w:pPr>
              <w:spacing w:line="240" w:lineRule="auto"/>
              <w:jc w:val="center"/>
              <w:rPr>
                <w:sz w:val="24"/>
                <w:szCs w:val="24"/>
              </w:rPr>
            </w:pPr>
            <w:r>
              <w:rPr>
                <w:sz w:val="24"/>
                <w:szCs w:val="24"/>
              </w:rPr>
              <w:t>A1</w:t>
            </w:r>
          </w:p>
        </w:tc>
        <w:tc>
          <w:tcPr>
            <w:tcW w:w="1326" w:type="dxa"/>
            <w:tcBorders>
              <w:top w:val="single" w:sz="6" w:space="0" w:color="auto"/>
              <w:left w:val="single" w:sz="6" w:space="0" w:color="auto"/>
              <w:bottom w:val="single" w:sz="6" w:space="0" w:color="auto"/>
              <w:right w:val="single" w:sz="6" w:space="0" w:color="auto"/>
            </w:tcBorders>
            <w:vAlign w:val="center"/>
            <w:hideMark/>
          </w:tcPr>
          <w:p w14:paraId="608960CC" w14:textId="77777777" w:rsidR="000C1E0E" w:rsidRDefault="000C1E0E" w:rsidP="0098752B">
            <w:pPr>
              <w:spacing w:line="240" w:lineRule="auto"/>
              <w:jc w:val="center"/>
              <w:rPr>
                <w:sz w:val="24"/>
                <w:szCs w:val="24"/>
              </w:rPr>
            </w:pPr>
            <w:r>
              <w:rPr>
                <w:sz w:val="24"/>
                <w:szCs w:val="24"/>
              </w:rPr>
              <w:t>A+</w:t>
            </w:r>
          </w:p>
        </w:tc>
        <w:tc>
          <w:tcPr>
            <w:tcW w:w="1268" w:type="dxa"/>
            <w:tcBorders>
              <w:top w:val="single" w:sz="6" w:space="0" w:color="auto"/>
              <w:left w:val="single" w:sz="6" w:space="0" w:color="auto"/>
              <w:bottom w:val="single" w:sz="6" w:space="0" w:color="auto"/>
              <w:right w:val="single" w:sz="6" w:space="0" w:color="auto"/>
            </w:tcBorders>
            <w:vAlign w:val="center"/>
          </w:tcPr>
          <w:p w14:paraId="11535120" w14:textId="77777777" w:rsidR="000C1E0E" w:rsidRDefault="000C1E0E" w:rsidP="0098752B">
            <w:pPr>
              <w:spacing w:line="240" w:lineRule="auto"/>
              <w:jc w:val="center"/>
              <w:rPr>
                <w:sz w:val="24"/>
                <w:szCs w:val="24"/>
              </w:rPr>
            </w:pPr>
          </w:p>
        </w:tc>
        <w:tc>
          <w:tcPr>
            <w:tcW w:w="1268" w:type="dxa"/>
            <w:tcBorders>
              <w:top w:val="single" w:sz="6" w:space="0" w:color="auto"/>
              <w:left w:val="single" w:sz="6" w:space="0" w:color="auto"/>
              <w:bottom w:val="single" w:sz="6" w:space="0" w:color="auto"/>
              <w:right w:val="single" w:sz="6" w:space="0" w:color="auto"/>
            </w:tcBorders>
            <w:vAlign w:val="center"/>
          </w:tcPr>
          <w:p w14:paraId="445BE069" w14:textId="77777777" w:rsidR="000C1E0E" w:rsidRDefault="000C1E0E" w:rsidP="0098752B">
            <w:pPr>
              <w:spacing w:line="240" w:lineRule="auto"/>
              <w:jc w:val="center"/>
              <w:rPr>
                <w:sz w:val="24"/>
                <w:szCs w:val="24"/>
              </w:rPr>
            </w:pPr>
          </w:p>
        </w:tc>
        <w:tc>
          <w:tcPr>
            <w:tcW w:w="1449" w:type="dxa"/>
            <w:tcBorders>
              <w:top w:val="single" w:sz="6" w:space="0" w:color="auto"/>
              <w:left w:val="single" w:sz="6" w:space="0" w:color="auto"/>
              <w:bottom w:val="single" w:sz="6" w:space="0" w:color="auto"/>
              <w:right w:val="single" w:sz="6" w:space="0" w:color="auto"/>
            </w:tcBorders>
            <w:vAlign w:val="center"/>
            <w:hideMark/>
          </w:tcPr>
          <w:p w14:paraId="13BD074C" w14:textId="77777777" w:rsidR="000C1E0E" w:rsidRDefault="000C1E0E" w:rsidP="0098752B">
            <w:pPr>
              <w:spacing w:line="240" w:lineRule="auto"/>
              <w:jc w:val="center"/>
              <w:rPr>
                <w:sz w:val="24"/>
                <w:szCs w:val="24"/>
              </w:rPr>
            </w:pPr>
            <w:r>
              <w:rPr>
                <w:sz w:val="24"/>
                <w:szCs w:val="24"/>
              </w:rPr>
              <w:t>0,04%</w:t>
            </w:r>
          </w:p>
        </w:tc>
        <w:tc>
          <w:tcPr>
            <w:tcW w:w="1423" w:type="dxa"/>
            <w:tcBorders>
              <w:top w:val="single" w:sz="6" w:space="0" w:color="auto"/>
              <w:left w:val="single" w:sz="6" w:space="0" w:color="auto"/>
              <w:bottom w:val="single" w:sz="6" w:space="0" w:color="auto"/>
              <w:right w:val="single" w:sz="12" w:space="0" w:color="auto"/>
            </w:tcBorders>
            <w:vAlign w:val="center"/>
            <w:hideMark/>
          </w:tcPr>
          <w:p w14:paraId="55CD9858" w14:textId="77777777" w:rsidR="000C1E0E" w:rsidRDefault="000C1E0E" w:rsidP="0098752B">
            <w:pPr>
              <w:spacing w:line="240" w:lineRule="auto"/>
              <w:jc w:val="center"/>
              <w:rPr>
                <w:sz w:val="24"/>
                <w:szCs w:val="24"/>
              </w:rPr>
            </w:pPr>
            <w:r>
              <w:rPr>
                <w:sz w:val="24"/>
                <w:szCs w:val="24"/>
              </w:rPr>
              <w:t>55%</w:t>
            </w:r>
          </w:p>
        </w:tc>
      </w:tr>
      <w:tr w:rsidR="000C1E0E" w14:paraId="6397B39D" w14:textId="77777777" w:rsidTr="0098752B">
        <w:trPr>
          <w:trHeight w:val="340"/>
          <w:jc w:val="center"/>
        </w:trPr>
        <w:tc>
          <w:tcPr>
            <w:tcW w:w="1355" w:type="dxa"/>
            <w:tcBorders>
              <w:top w:val="single" w:sz="6" w:space="0" w:color="auto"/>
              <w:left w:val="single" w:sz="12" w:space="0" w:color="auto"/>
              <w:bottom w:val="single" w:sz="6" w:space="0" w:color="auto"/>
              <w:right w:val="single" w:sz="6" w:space="0" w:color="auto"/>
            </w:tcBorders>
            <w:vAlign w:val="center"/>
            <w:hideMark/>
          </w:tcPr>
          <w:p w14:paraId="619B485C" w14:textId="77777777" w:rsidR="000C1E0E" w:rsidRDefault="000C1E0E" w:rsidP="0098752B">
            <w:pPr>
              <w:spacing w:line="240" w:lineRule="auto"/>
              <w:jc w:val="center"/>
              <w:rPr>
                <w:sz w:val="24"/>
                <w:szCs w:val="24"/>
              </w:rPr>
            </w:pPr>
            <w:r>
              <w:rPr>
                <w:sz w:val="24"/>
                <w:szCs w:val="24"/>
              </w:rPr>
              <w:t>A</w:t>
            </w:r>
          </w:p>
        </w:tc>
        <w:tc>
          <w:tcPr>
            <w:tcW w:w="1346" w:type="dxa"/>
            <w:tcBorders>
              <w:top w:val="single" w:sz="6" w:space="0" w:color="auto"/>
              <w:left w:val="single" w:sz="6" w:space="0" w:color="auto"/>
              <w:bottom w:val="single" w:sz="6" w:space="0" w:color="auto"/>
              <w:right w:val="single" w:sz="6" w:space="0" w:color="auto"/>
            </w:tcBorders>
            <w:vAlign w:val="center"/>
            <w:hideMark/>
          </w:tcPr>
          <w:p w14:paraId="1D33DBAC" w14:textId="77777777" w:rsidR="000C1E0E" w:rsidRDefault="000C1E0E" w:rsidP="0098752B">
            <w:pPr>
              <w:spacing w:line="240" w:lineRule="auto"/>
              <w:jc w:val="center"/>
              <w:rPr>
                <w:sz w:val="24"/>
                <w:szCs w:val="24"/>
              </w:rPr>
            </w:pPr>
            <w:r>
              <w:rPr>
                <w:sz w:val="24"/>
                <w:szCs w:val="24"/>
              </w:rPr>
              <w:t>A2</w:t>
            </w:r>
          </w:p>
        </w:tc>
        <w:tc>
          <w:tcPr>
            <w:tcW w:w="1326" w:type="dxa"/>
            <w:tcBorders>
              <w:top w:val="single" w:sz="6" w:space="0" w:color="auto"/>
              <w:left w:val="single" w:sz="6" w:space="0" w:color="auto"/>
              <w:bottom w:val="single" w:sz="6" w:space="0" w:color="auto"/>
              <w:right w:val="single" w:sz="6" w:space="0" w:color="auto"/>
            </w:tcBorders>
            <w:vAlign w:val="center"/>
            <w:hideMark/>
          </w:tcPr>
          <w:p w14:paraId="697F1EB0" w14:textId="77777777" w:rsidR="000C1E0E" w:rsidRDefault="000C1E0E" w:rsidP="0098752B">
            <w:pPr>
              <w:spacing w:line="240" w:lineRule="auto"/>
              <w:jc w:val="center"/>
              <w:rPr>
                <w:sz w:val="24"/>
                <w:szCs w:val="24"/>
              </w:rPr>
            </w:pPr>
            <w:r>
              <w:rPr>
                <w:sz w:val="24"/>
                <w:szCs w:val="24"/>
              </w:rPr>
              <w:t>A</w:t>
            </w:r>
          </w:p>
        </w:tc>
        <w:tc>
          <w:tcPr>
            <w:tcW w:w="1268" w:type="dxa"/>
            <w:tcBorders>
              <w:top w:val="single" w:sz="6" w:space="0" w:color="auto"/>
              <w:left w:val="single" w:sz="6" w:space="0" w:color="auto"/>
              <w:bottom w:val="single" w:sz="6" w:space="0" w:color="auto"/>
              <w:right w:val="single" w:sz="6" w:space="0" w:color="auto"/>
            </w:tcBorders>
            <w:vAlign w:val="center"/>
          </w:tcPr>
          <w:p w14:paraId="4CC93189" w14:textId="77777777" w:rsidR="000C1E0E" w:rsidRDefault="000C1E0E" w:rsidP="0098752B">
            <w:pPr>
              <w:spacing w:line="240" w:lineRule="auto"/>
              <w:jc w:val="center"/>
              <w:rPr>
                <w:sz w:val="24"/>
                <w:szCs w:val="24"/>
              </w:rPr>
            </w:pPr>
          </w:p>
        </w:tc>
        <w:tc>
          <w:tcPr>
            <w:tcW w:w="1268" w:type="dxa"/>
            <w:tcBorders>
              <w:top w:val="single" w:sz="6" w:space="0" w:color="auto"/>
              <w:left w:val="single" w:sz="6" w:space="0" w:color="auto"/>
              <w:bottom w:val="single" w:sz="6" w:space="0" w:color="auto"/>
              <w:right w:val="single" w:sz="6" w:space="0" w:color="auto"/>
            </w:tcBorders>
            <w:vAlign w:val="center"/>
          </w:tcPr>
          <w:p w14:paraId="5D7E2850" w14:textId="77777777" w:rsidR="000C1E0E" w:rsidRDefault="000C1E0E" w:rsidP="0098752B">
            <w:pPr>
              <w:spacing w:line="240" w:lineRule="auto"/>
              <w:jc w:val="center"/>
              <w:rPr>
                <w:sz w:val="24"/>
                <w:szCs w:val="24"/>
              </w:rPr>
            </w:pPr>
          </w:p>
        </w:tc>
        <w:tc>
          <w:tcPr>
            <w:tcW w:w="1449" w:type="dxa"/>
            <w:tcBorders>
              <w:top w:val="single" w:sz="6" w:space="0" w:color="auto"/>
              <w:left w:val="single" w:sz="6" w:space="0" w:color="auto"/>
              <w:bottom w:val="single" w:sz="6" w:space="0" w:color="auto"/>
              <w:right w:val="single" w:sz="6" w:space="0" w:color="auto"/>
            </w:tcBorders>
            <w:vAlign w:val="center"/>
            <w:hideMark/>
          </w:tcPr>
          <w:p w14:paraId="4BDD7335" w14:textId="77777777" w:rsidR="000C1E0E" w:rsidRDefault="000C1E0E" w:rsidP="0098752B">
            <w:pPr>
              <w:spacing w:line="240" w:lineRule="auto"/>
              <w:jc w:val="center"/>
              <w:rPr>
                <w:sz w:val="24"/>
                <w:szCs w:val="24"/>
              </w:rPr>
            </w:pPr>
            <w:r>
              <w:rPr>
                <w:sz w:val="24"/>
                <w:szCs w:val="24"/>
              </w:rPr>
              <w:t>0,08%</w:t>
            </w:r>
          </w:p>
        </w:tc>
        <w:tc>
          <w:tcPr>
            <w:tcW w:w="1423" w:type="dxa"/>
            <w:tcBorders>
              <w:top w:val="single" w:sz="6" w:space="0" w:color="auto"/>
              <w:left w:val="single" w:sz="6" w:space="0" w:color="auto"/>
              <w:bottom w:val="single" w:sz="6" w:space="0" w:color="auto"/>
              <w:right w:val="single" w:sz="12" w:space="0" w:color="auto"/>
            </w:tcBorders>
            <w:vAlign w:val="center"/>
            <w:hideMark/>
          </w:tcPr>
          <w:p w14:paraId="0999928C" w14:textId="77777777" w:rsidR="000C1E0E" w:rsidRDefault="000C1E0E" w:rsidP="0098752B">
            <w:pPr>
              <w:spacing w:line="240" w:lineRule="auto"/>
              <w:jc w:val="center"/>
              <w:rPr>
                <w:sz w:val="24"/>
                <w:szCs w:val="24"/>
              </w:rPr>
            </w:pPr>
            <w:r>
              <w:rPr>
                <w:sz w:val="24"/>
                <w:szCs w:val="24"/>
              </w:rPr>
              <w:t>55%</w:t>
            </w:r>
          </w:p>
        </w:tc>
      </w:tr>
      <w:tr w:rsidR="000C1E0E" w14:paraId="1507B540" w14:textId="77777777" w:rsidTr="0098752B">
        <w:trPr>
          <w:trHeight w:val="340"/>
          <w:jc w:val="center"/>
        </w:trPr>
        <w:tc>
          <w:tcPr>
            <w:tcW w:w="1355" w:type="dxa"/>
            <w:tcBorders>
              <w:top w:val="single" w:sz="6" w:space="0" w:color="auto"/>
              <w:left w:val="single" w:sz="12" w:space="0" w:color="auto"/>
              <w:bottom w:val="single" w:sz="6" w:space="0" w:color="auto"/>
              <w:right w:val="single" w:sz="6" w:space="0" w:color="auto"/>
            </w:tcBorders>
            <w:vAlign w:val="center"/>
            <w:hideMark/>
          </w:tcPr>
          <w:p w14:paraId="4DD27510" w14:textId="77777777" w:rsidR="000C1E0E" w:rsidRDefault="000C1E0E" w:rsidP="0098752B">
            <w:pPr>
              <w:spacing w:line="240" w:lineRule="auto"/>
              <w:jc w:val="center"/>
              <w:rPr>
                <w:sz w:val="24"/>
                <w:szCs w:val="24"/>
              </w:rPr>
            </w:pPr>
            <w:r>
              <w:rPr>
                <w:sz w:val="24"/>
                <w:szCs w:val="24"/>
              </w:rPr>
              <w:t>A-</w:t>
            </w:r>
          </w:p>
        </w:tc>
        <w:tc>
          <w:tcPr>
            <w:tcW w:w="1346" w:type="dxa"/>
            <w:tcBorders>
              <w:top w:val="single" w:sz="6" w:space="0" w:color="auto"/>
              <w:left w:val="single" w:sz="6" w:space="0" w:color="auto"/>
              <w:bottom w:val="single" w:sz="6" w:space="0" w:color="auto"/>
              <w:right w:val="single" w:sz="6" w:space="0" w:color="auto"/>
            </w:tcBorders>
            <w:vAlign w:val="center"/>
            <w:hideMark/>
          </w:tcPr>
          <w:p w14:paraId="1DE1B74A" w14:textId="77777777" w:rsidR="000C1E0E" w:rsidRDefault="000C1E0E" w:rsidP="0098752B">
            <w:pPr>
              <w:spacing w:line="240" w:lineRule="auto"/>
              <w:jc w:val="center"/>
              <w:rPr>
                <w:sz w:val="24"/>
                <w:szCs w:val="24"/>
              </w:rPr>
            </w:pPr>
            <w:r>
              <w:rPr>
                <w:sz w:val="24"/>
                <w:szCs w:val="24"/>
              </w:rPr>
              <w:t>A3</w:t>
            </w:r>
          </w:p>
        </w:tc>
        <w:tc>
          <w:tcPr>
            <w:tcW w:w="1326" w:type="dxa"/>
            <w:tcBorders>
              <w:top w:val="single" w:sz="6" w:space="0" w:color="auto"/>
              <w:left w:val="single" w:sz="6" w:space="0" w:color="auto"/>
              <w:bottom w:val="single" w:sz="6" w:space="0" w:color="auto"/>
              <w:right w:val="single" w:sz="6" w:space="0" w:color="auto"/>
            </w:tcBorders>
            <w:vAlign w:val="center"/>
            <w:hideMark/>
          </w:tcPr>
          <w:p w14:paraId="77414881" w14:textId="77777777" w:rsidR="000C1E0E" w:rsidRDefault="000C1E0E" w:rsidP="0098752B">
            <w:pPr>
              <w:spacing w:line="240" w:lineRule="auto"/>
              <w:jc w:val="center"/>
              <w:rPr>
                <w:sz w:val="24"/>
                <w:szCs w:val="24"/>
              </w:rPr>
            </w:pPr>
            <w:r>
              <w:rPr>
                <w:sz w:val="24"/>
                <w:szCs w:val="24"/>
              </w:rPr>
              <w:t>A-</w:t>
            </w:r>
          </w:p>
        </w:tc>
        <w:tc>
          <w:tcPr>
            <w:tcW w:w="1268" w:type="dxa"/>
            <w:tcBorders>
              <w:top w:val="single" w:sz="6" w:space="0" w:color="auto"/>
              <w:left w:val="single" w:sz="6" w:space="0" w:color="auto"/>
              <w:bottom w:val="single" w:sz="6" w:space="0" w:color="auto"/>
              <w:right w:val="single" w:sz="6" w:space="0" w:color="auto"/>
            </w:tcBorders>
            <w:vAlign w:val="center"/>
          </w:tcPr>
          <w:p w14:paraId="1E8766AA" w14:textId="77777777" w:rsidR="000C1E0E" w:rsidRDefault="000C1E0E" w:rsidP="0098752B">
            <w:pPr>
              <w:spacing w:line="240" w:lineRule="auto"/>
              <w:jc w:val="center"/>
              <w:rPr>
                <w:sz w:val="24"/>
                <w:szCs w:val="24"/>
              </w:rPr>
            </w:pPr>
          </w:p>
        </w:tc>
        <w:tc>
          <w:tcPr>
            <w:tcW w:w="1268" w:type="dxa"/>
            <w:tcBorders>
              <w:top w:val="single" w:sz="6" w:space="0" w:color="auto"/>
              <w:left w:val="single" w:sz="6" w:space="0" w:color="auto"/>
              <w:bottom w:val="single" w:sz="6" w:space="0" w:color="auto"/>
              <w:right w:val="single" w:sz="6" w:space="0" w:color="auto"/>
            </w:tcBorders>
            <w:vAlign w:val="center"/>
          </w:tcPr>
          <w:p w14:paraId="4B7A4D84" w14:textId="77777777" w:rsidR="000C1E0E" w:rsidRDefault="000C1E0E" w:rsidP="0098752B">
            <w:pPr>
              <w:spacing w:line="240" w:lineRule="auto"/>
              <w:jc w:val="center"/>
              <w:rPr>
                <w:sz w:val="24"/>
                <w:szCs w:val="24"/>
              </w:rPr>
            </w:pPr>
          </w:p>
        </w:tc>
        <w:tc>
          <w:tcPr>
            <w:tcW w:w="1449" w:type="dxa"/>
            <w:tcBorders>
              <w:top w:val="single" w:sz="6" w:space="0" w:color="auto"/>
              <w:left w:val="single" w:sz="6" w:space="0" w:color="auto"/>
              <w:bottom w:val="single" w:sz="6" w:space="0" w:color="auto"/>
              <w:right w:val="single" w:sz="6" w:space="0" w:color="auto"/>
            </w:tcBorders>
            <w:vAlign w:val="center"/>
            <w:hideMark/>
          </w:tcPr>
          <w:p w14:paraId="2DFC9EEA" w14:textId="77777777" w:rsidR="000C1E0E" w:rsidRDefault="000C1E0E" w:rsidP="0098752B">
            <w:pPr>
              <w:spacing w:line="240" w:lineRule="auto"/>
              <w:jc w:val="center"/>
              <w:rPr>
                <w:sz w:val="24"/>
                <w:szCs w:val="24"/>
              </w:rPr>
            </w:pPr>
            <w:r>
              <w:rPr>
                <w:sz w:val="24"/>
                <w:szCs w:val="24"/>
              </w:rPr>
              <w:t>0,08%</w:t>
            </w:r>
          </w:p>
        </w:tc>
        <w:tc>
          <w:tcPr>
            <w:tcW w:w="1423" w:type="dxa"/>
            <w:tcBorders>
              <w:top w:val="single" w:sz="6" w:space="0" w:color="auto"/>
              <w:left w:val="single" w:sz="6" w:space="0" w:color="auto"/>
              <w:bottom w:val="single" w:sz="6" w:space="0" w:color="auto"/>
              <w:right w:val="single" w:sz="12" w:space="0" w:color="auto"/>
            </w:tcBorders>
            <w:vAlign w:val="center"/>
            <w:hideMark/>
          </w:tcPr>
          <w:p w14:paraId="4F69484E" w14:textId="77777777" w:rsidR="000C1E0E" w:rsidRDefault="000C1E0E" w:rsidP="0098752B">
            <w:pPr>
              <w:spacing w:line="240" w:lineRule="auto"/>
              <w:jc w:val="center"/>
              <w:rPr>
                <w:sz w:val="24"/>
                <w:szCs w:val="24"/>
              </w:rPr>
            </w:pPr>
            <w:r>
              <w:rPr>
                <w:sz w:val="24"/>
                <w:szCs w:val="24"/>
              </w:rPr>
              <w:t>55%</w:t>
            </w:r>
          </w:p>
        </w:tc>
      </w:tr>
      <w:tr w:rsidR="000C1E0E" w14:paraId="6A598775" w14:textId="77777777" w:rsidTr="0098752B">
        <w:trPr>
          <w:trHeight w:val="340"/>
          <w:jc w:val="center"/>
        </w:trPr>
        <w:tc>
          <w:tcPr>
            <w:tcW w:w="1355" w:type="dxa"/>
            <w:tcBorders>
              <w:top w:val="single" w:sz="6" w:space="0" w:color="auto"/>
              <w:left w:val="single" w:sz="12" w:space="0" w:color="auto"/>
              <w:bottom w:val="single" w:sz="6" w:space="0" w:color="auto"/>
              <w:right w:val="single" w:sz="6" w:space="0" w:color="auto"/>
            </w:tcBorders>
            <w:vAlign w:val="center"/>
            <w:hideMark/>
          </w:tcPr>
          <w:p w14:paraId="63C114B7" w14:textId="77777777" w:rsidR="000C1E0E" w:rsidRDefault="000C1E0E" w:rsidP="0098752B">
            <w:pPr>
              <w:spacing w:line="240" w:lineRule="auto"/>
              <w:jc w:val="center"/>
              <w:rPr>
                <w:sz w:val="24"/>
                <w:szCs w:val="24"/>
              </w:rPr>
            </w:pPr>
            <w:r>
              <w:rPr>
                <w:sz w:val="24"/>
                <w:szCs w:val="24"/>
              </w:rPr>
              <w:t>BBB+</w:t>
            </w:r>
          </w:p>
        </w:tc>
        <w:tc>
          <w:tcPr>
            <w:tcW w:w="1346" w:type="dxa"/>
            <w:tcBorders>
              <w:top w:val="single" w:sz="6" w:space="0" w:color="auto"/>
              <w:left w:val="single" w:sz="6" w:space="0" w:color="auto"/>
              <w:bottom w:val="single" w:sz="6" w:space="0" w:color="auto"/>
              <w:right w:val="single" w:sz="6" w:space="0" w:color="auto"/>
            </w:tcBorders>
            <w:vAlign w:val="center"/>
            <w:hideMark/>
          </w:tcPr>
          <w:p w14:paraId="0144A0BA" w14:textId="77777777" w:rsidR="000C1E0E" w:rsidRDefault="000C1E0E" w:rsidP="0098752B">
            <w:pPr>
              <w:spacing w:line="240" w:lineRule="auto"/>
              <w:jc w:val="center"/>
              <w:rPr>
                <w:sz w:val="24"/>
                <w:szCs w:val="24"/>
              </w:rPr>
            </w:pPr>
            <w:r>
              <w:rPr>
                <w:sz w:val="24"/>
                <w:szCs w:val="24"/>
              </w:rPr>
              <w:t>Baa1</w:t>
            </w:r>
          </w:p>
        </w:tc>
        <w:tc>
          <w:tcPr>
            <w:tcW w:w="1326" w:type="dxa"/>
            <w:tcBorders>
              <w:top w:val="single" w:sz="6" w:space="0" w:color="auto"/>
              <w:left w:val="single" w:sz="6" w:space="0" w:color="auto"/>
              <w:bottom w:val="single" w:sz="6" w:space="0" w:color="auto"/>
              <w:right w:val="single" w:sz="6" w:space="0" w:color="auto"/>
            </w:tcBorders>
            <w:vAlign w:val="center"/>
            <w:hideMark/>
          </w:tcPr>
          <w:p w14:paraId="40D6B6CB" w14:textId="77777777" w:rsidR="000C1E0E" w:rsidRDefault="000C1E0E" w:rsidP="0098752B">
            <w:pPr>
              <w:spacing w:line="240" w:lineRule="auto"/>
              <w:jc w:val="center"/>
              <w:rPr>
                <w:sz w:val="24"/>
                <w:szCs w:val="24"/>
              </w:rPr>
            </w:pPr>
            <w:r>
              <w:rPr>
                <w:sz w:val="24"/>
                <w:szCs w:val="24"/>
              </w:rPr>
              <w:t>BBB+</w:t>
            </w:r>
          </w:p>
        </w:tc>
        <w:tc>
          <w:tcPr>
            <w:tcW w:w="1268" w:type="dxa"/>
            <w:tcBorders>
              <w:top w:val="single" w:sz="6" w:space="0" w:color="auto"/>
              <w:left w:val="single" w:sz="6" w:space="0" w:color="auto"/>
              <w:bottom w:val="single" w:sz="6" w:space="0" w:color="auto"/>
              <w:right w:val="single" w:sz="6" w:space="0" w:color="auto"/>
            </w:tcBorders>
            <w:vAlign w:val="center"/>
          </w:tcPr>
          <w:p w14:paraId="082F5E92" w14:textId="77777777" w:rsidR="000C1E0E" w:rsidRDefault="000C1E0E" w:rsidP="0098752B">
            <w:pPr>
              <w:spacing w:line="240" w:lineRule="auto"/>
              <w:jc w:val="center"/>
              <w:rPr>
                <w:sz w:val="24"/>
                <w:szCs w:val="24"/>
              </w:rPr>
            </w:pPr>
          </w:p>
        </w:tc>
        <w:tc>
          <w:tcPr>
            <w:tcW w:w="1268" w:type="dxa"/>
            <w:tcBorders>
              <w:top w:val="single" w:sz="6" w:space="0" w:color="auto"/>
              <w:left w:val="single" w:sz="6" w:space="0" w:color="auto"/>
              <w:bottom w:val="single" w:sz="6" w:space="0" w:color="auto"/>
              <w:right w:val="single" w:sz="6" w:space="0" w:color="auto"/>
            </w:tcBorders>
            <w:vAlign w:val="center"/>
          </w:tcPr>
          <w:p w14:paraId="1C4BB74C" w14:textId="77777777" w:rsidR="000C1E0E" w:rsidRDefault="000C1E0E" w:rsidP="0098752B">
            <w:pPr>
              <w:spacing w:line="240" w:lineRule="auto"/>
              <w:jc w:val="center"/>
              <w:rPr>
                <w:sz w:val="24"/>
                <w:szCs w:val="24"/>
              </w:rPr>
            </w:pPr>
          </w:p>
        </w:tc>
        <w:tc>
          <w:tcPr>
            <w:tcW w:w="1449" w:type="dxa"/>
            <w:tcBorders>
              <w:top w:val="single" w:sz="6" w:space="0" w:color="auto"/>
              <w:left w:val="single" w:sz="6" w:space="0" w:color="auto"/>
              <w:bottom w:val="single" w:sz="6" w:space="0" w:color="auto"/>
              <w:right w:val="single" w:sz="6" w:space="0" w:color="auto"/>
            </w:tcBorders>
            <w:vAlign w:val="center"/>
            <w:hideMark/>
          </w:tcPr>
          <w:p w14:paraId="1FC39130" w14:textId="77777777" w:rsidR="000C1E0E" w:rsidRDefault="000C1E0E" w:rsidP="0098752B">
            <w:pPr>
              <w:spacing w:line="240" w:lineRule="auto"/>
              <w:jc w:val="center"/>
              <w:rPr>
                <w:sz w:val="24"/>
                <w:szCs w:val="24"/>
              </w:rPr>
            </w:pPr>
            <w:r>
              <w:rPr>
                <w:sz w:val="24"/>
                <w:szCs w:val="24"/>
              </w:rPr>
              <w:t>0,16%</w:t>
            </w:r>
          </w:p>
        </w:tc>
        <w:tc>
          <w:tcPr>
            <w:tcW w:w="1423" w:type="dxa"/>
            <w:tcBorders>
              <w:top w:val="single" w:sz="6" w:space="0" w:color="auto"/>
              <w:left w:val="single" w:sz="6" w:space="0" w:color="auto"/>
              <w:bottom w:val="single" w:sz="6" w:space="0" w:color="auto"/>
              <w:right w:val="single" w:sz="12" w:space="0" w:color="auto"/>
            </w:tcBorders>
            <w:vAlign w:val="center"/>
            <w:hideMark/>
          </w:tcPr>
          <w:p w14:paraId="2CA5A938" w14:textId="77777777" w:rsidR="000C1E0E" w:rsidRDefault="000C1E0E" w:rsidP="0098752B">
            <w:pPr>
              <w:spacing w:line="240" w:lineRule="auto"/>
              <w:jc w:val="center"/>
              <w:rPr>
                <w:sz w:val="24"/>
                <w:szCs w:val="24"/>
              </w:rPr>
            </w:pPr>
            <w:r>
              <w:rPr>
                <w:sz w:val="24"/>
                <w:szCs w:val="24"/>
              </w:rPr>
              <w:t>55%</w:t>
            </w:r>
          </w:p>
        </w:tc>
      </w:tr>
      <w:tr w:rsidR="000C1E0E" w14:paraId="282CEBCA" w14:textId="77777777" w:rsidTr="0098752B">
        <w:trPr>
          <w:trHeight w:val="340"/>
          <w:jc w:val="center"/>
        </w:trPr>
        <w:tc>
          <w:tcPr>
            <w:tcW w:w="1355" w:type="dxa"/>
            <w:tcBorders>
              <w:top w:val="single" w:sz="6" w:space="0" w:color="auto"/>
              <w:left w:val="single" w:sz="12" w:space="0" w:color="auto"/>
              <w:bottom w:val="single" w:sz="6" w:space="0" w:color="auto"/>
              <w:right w:val="single" w:sz="6" w:space="0" w:color="auto"/>
            </w:tcBorders>
            <w:vAlign w:val="center"/>
            <w:hideMark/>
          </w:tcPr>
          <w:p w14:paraId="07AE839A" w14:textId="77777777" w:rsidR="000C1E0E" w:rsidRDefault="000C1E0E" w:rsidP="0098752B">
            <w:pPr>
              <w:spacing w:line="240" w:lineRule="auto"/>
              <w:jc w:val="center"/>
              <w:rPr>
                <w:sz w:val="24"/>
                <w:szCs w:val="24"/>
              </w:rPr>
            </w:pPr>
            <w:r>
              <w:rPr>
                <w:sz w:val="24"/>
                <w:szCs w:val="24"/>
              </w:rPr>
              <w:t>BBB</w:t>
            </w:r>
          </w:p>
        </w:tc>
        <w:tc>
          <w:tcPr>
            <w:tcW w:w="1346" w:type="dxa"/>
            <w:tcBorders>
              <w:top w:val="single" w:sz="6" w:space="0" w:color="auto"/>
              <w:left w:val="single" w:sz="6" w:space="0" w:color="auto"/>
              <w:bottom w:val="single" w:sz="6" w:space="0" w:color="auto"/>
              <w:right w:val="single" w:sz="6" w:space="0" w:color="auto"/>
            </w:tcBorders>
            <w:vAlign w:val="center"/>
            <w:hideMark/>
          </w:tcPr>
          <w:p w14:paraId="4CFB543B" w14:textId="77777777" w:rsidR="000C1E0E" w:rsidRDefault="000C1E0E" w:rsidP="0098752B">
            <w:pPr>
              <w:spacing w:line="240" w:lineRule="auto"/>
              <w:jc w:val="center"/>
              <w:rPr>
                <w:sz w:val="24"/>
                <w:szCs w:val="24"/>
              </w:rPr>
            </w:pPr>
            <w:r>
              <w:rPr>
                <w:sz w:val="24"/>
                <w:szCs w:val="24"/>
              </w:rPr>
              <w:t>Baa2</w:t>
            </w:r>
          </w:p>
        </w:tc>
        <w:tc>
          <w:tcPr>
            <w:tcW w:w="1326" w:type="dxa"/>
            <w:tcBorders>
              <w:top w:val="single" w:sz="6" w:space="0" w:color="auto"/>
              <w:left w:val="single" w:sz="6" w:space="0" w:color="auto"/>
              <w:bottom w:val="single" w:sz="6" w:space="0" w:color="auto"/>
              <w:right w:val="single" w:sz="6" w:space="0" w:color="auto"/>
            </w:tcBorders>
            <w:vAlign w:val="center"/>
            <w:hideMark/>
          </w:tcPr>
          <w:p w14:paraId="60DB387E" w14:textId="77777777" w:rsidR="000C1E0E" w:rsidRDefault="000C1E0E" w:rsidP="0098752B">
            <w:pPr>
              <w:spacing w:line="240" w:lineRule="auto"/>
              <w:jc w:val="center"/>
              <w:rPr>
                <w:sz w:val="24"/>
                <w:szCs w:val="24"/>
              </w:rPr>
            </w:pPr>
            <w:r>
              <w:rPr>
                <w:sz w:val="24"/>
                <w:szCs w:val="24"/>
              </w:rPr>
              <w:t>BBB</w:t>
            </w:r>
          </w:p>
        </w:tc>
        <w:tc>
          <w:tcPr>
            <w:tcW w:w="1268" w:type="dxa"/>
            <w:tcBorders>
              <w:top w:val="single" w:sz="6" w:space="0" w:color="auto"/>
              <w:left w:val="single" w:sz="6" w:space="0" w:color="auto"/>
              <w:bottom w:val="single" w:sz="6" w:space="0" w:color="auto"/>
              <w:right w:val="single" w:sz="6" w:space="0" w:color="auto"/>
            </w:tcBorders>
            <w:vAlign w:val="center"/>
          </w:tcPr>
          <w:p w14:paraId="55132A8A" w14:textId="77777777" w:rsidR="000C1E0E" w:rsidRDefault="000C1E0E" w:rsidP="0098752B">
            <w:pPr>
              <w:spacing w:line="240" w:lineRule="auto"/>
              <w:jc w:val="center"/>
              <w:rPr>
                <w:sz w:val="24"/>
                <w:szCs w:val="24"/>
              </w:rPr>
            </w:pPr>
          </w:p>
        </w:tc>
        <w:tc>
          <w:tcPr>
            <w:tcW w:w="1268" w:type="dxa"/>
            <w:tcBorders>
              <w:top w:val="single" w:sz="6" w:space="0" w:color="auto"/>
              <w:left w:val="single" w:sz="6" w:space="0" w:color="auto"/>
              <w:bottom w:val="single" w:sz="6" w:space="0" w:color="auto"/>
              <w:right w:val="single" w:sz="6" w:space="0" w:color="auto"/>
            </w:tcBorders>
            <w:vAlign w:val="center"/>
          </w:tcPr>
          <w:p w14:paraId="5B53D822" w14:textId="77777777" w:rsidR="000C1E0E" w:rsidRDefault="000C1E0E" w:rsidP="0098752B">
            <w:pPr>
              <w:spacing w:line="240" w:lineRule="auto"/>
              <w:jc w:val="center"/>
              <w:rPr>
                <w:sz w:val="24"/>
                <w:szCs w:val="24"/>
              </w:rPr>
            </w:pPr>
          </w:p>
        </w:tc>
        <w:tc>
          <w:tcPr>
            <w:tcW w:w="1449" w:type="dxa"/>
            <w:tcBorders>
              <w:top w:val="single" w:sz="6" w:space="0" w:color="auto"/>
              <w:left w:val="single" w:sz="6" w:space="0" w:color="auto"/>
              <w:bottom w:val="single" w:sz="6" w:space="0" w:color="auto"/>
              <w:right w:val="single" w:sz="6" w:space="0" w:color="auto"/>
            </w:tcBorders>
            <w:vAlign w:val="center"/>
            <w:hideMark/>
          </w:tcPr>
          <w:p w14:paraId="3A976EB0" w14:textId="77777777" w:rsidR="000C1E0E" w:rsidRDefault="000C1E0E" w:rsidP="0098752B">
            <w:pPr>
              <w:spacing w:line="240" w:lineRule="auto"/>
              <w:jc w:val="center"/>
              <w:rPr>
                <w:sz w:val="24"/>
                <w:szCs w:val="24"/>
              </w:rPr>
            </w:pPr>
            <w:r>
              <w:rPr>
                <w:sz w:val="24"/>
                <w:szCs w:val="24"/>
              </w:rPr>
              <w:t>0,32%</w:t>
            </w:r>
          </w:p>
        </w:tc>
        <w:tc>
          <w:tcPr>
            <w:tcW w:w="1423" w:type="dxa"/>
            <w:tcBorders>
              <w:top w:val="single" w:sz="6" w:space="0" w:color="auto"/>
              <w:left w:val="single" w:sz="6" w:space="0" w:color="auto"/>
              <w:bottom w:val="single" w:sz="6" w:space="0" w:color="auto"/>
              <w:right w:val="single" w:sz="12" w:space="0" w:color="auto"/>
            </w:tcBorders>
            <w:vAlign w:val="center"/>
            <w:hideMark/>
          </w:tcPr>
          <w:p w14:paraId="5E7E23B6" w14:textId="77777777" w:rsidR="000C1E0E" w:rsidRDefault="000C1E0E" w:rsidP="0098752B">
            <w:pPr>
              <w:spacing w:line="240" w:lineRule="auto"/>
              <w:jc w:val="center"/>
              <w:rPr>
                <w:sz w:val="24"/>
                <w:szCs w:val="24"/>
              </w:rPr>
            </w:pPr>
            <w:r>
              <w:rPr>
                <w:sz w:val="24"/>
                <w:szCs w:val="24"/>
              </w:rPr>
              <w:t>55%</w:t>
            </w:r>
          </w:p>
        </w:tc>
      </w:tr>
      <w:tr w:rsidR="000C1E0E" w14:paraId="62AE182C" w14:textId="77777777" w:rsidTr="0098752B">
        <w:trPr>
          <w:trHeight w:val="340"/>
          <w:jc w:val="center"/>
        </w:trPr>
        <w:tc>
          <w:tcPr>
            <w:tcW w:w="1355" w:type="dxa"/>
            <w:tcBorders>
              <w:top w:val="single" w:sz="6" w:space="0" w:color="auto"/>
              <w:left w:val="single" w:sz="12" w:space="0" w:color="auto"/>
              <w:bottom w:val="single" w:sz="6" w:space="0" w:color="auto"/>
              <w:right w:val="single" w:sz="6" w:space="0" w:color="auto"/>
            </w:tcBorders>
            <w:vAlign w:val="center"/>
            <w:hideMark/>
          </w:tcPr>
          <w:p w14:paraId="5E5E62B9" w14:textId="77777777" w:rsidR="000C1E0E" w:rsidRDefault="000C1E0E" w:rsidP="0098752B">
            <w:pPr>
              <w:spacing w:line="240" w:lineRule="auto"/>
              <w:jc w:val="center"/>
              <w:rPr>
                <w:sz w:val="24"/>
                <w:szCs w:val="24"/>
              </w:rPr>
            </w:pPr>
            <w:r>
              <w:rPr>
                <w:sz w:val="24"/>
                <w:szCs w:val="24"/>
              </w:rPr>
              <w:t>BBB-</w:t>
            </w:r>
          </w:p>
        </w:tc>
        <w:tc>
          <w:tcPr>
            <w:tcW w:w="1346" w:type="dxa"/>
            <w:tcBorders>
              <w:top w:val="single" w:sz="6" w:space="0" w:color="auto"/>
              <w:left w:val="single" w:sz="6" w:space="0" w:color="auto"/>
              <w:bottom w:val="single" w:sz="6" w:space="0" w:color="auto"/>
              <w:right w:val="single" w:sz="6" w:space="0" w:color="auto"/>
            </w:tcBorders>
            <w:vAlign w:val="center"/>
            <w:hideMark/>
          </w:tcPr>
          <w:p w14:paraId="65FE31D7" w14:textId="77777777" w:rsidR="000C1E0E" w:rsidRDefault="000C1E0E" w:rsidP="0098752B">
            <w:pPr>
              <w:spacing w:line="240" w:lineRule="auto"/>
              <w:jc w:val="center"/>
              <w:rPr>
                <w:sz w:val="24"/>
                <w:szCs w:val="24"/>
              </w:rPr>
            </w:pPr>
            <w:r>
              <w:rPr>
                <w:sz w:val="24"/>
                <w:szCs w:val="24"/>
              </w:rPr>
              <w:t>Baa3</w:t>
            </w:r>
          </w:p>
        </w:tc>
        <w:tc>
          <w:tcPr>
            <w:tcW w:w="1326" w:type="dxa"/>
            <w:tcBorders>
              <w:top w:val="single" w:sz="6" w:space="0" w:color="auto"/>
              <w:left w:val="single" w:sz="6" w:space="0" w:color="auto"/>
              <w:bottom w:val="single" w:sz="6" w:space="0" w:color="auto"/>
              <w:right w:val="single" w:sz="6" w:space="0" w:color="auto"/>
            </w:tcBorders>
            <w:vAlign w:val="center"/>
            <w:hideMark/>
          </w:tcPr>
          <w:p w14:paraId="63CAEEC1" w14:textId="77777777" w:rsidR="000C1E0E" w:rsidRDefault="000C1E0E" w:rsidP="0098752B">
            <w:pPr>
              <w:spacing w:line="240" w:lineRule="auto"/>
              <w:jc w:val="center"/>
              <w:rPr>
                <w:sz w:val="24"/>
                <w:szCs w:val="24"/>
              </w:rPr>
            </w:pPr>
            <w:r>
              <w:rPr>
                <w:sz w:val="24"/>
                <w:szCs w:val="24"/>
              </w:rPr>
              <w:t>BBB-</w:t>
            </w:r>
          </w:p>
        </w:tc>
        <w:tc>
          <w:tcPr>
            <w:tcW w:w="1268" w:type="dxa"/>
            <w:tcBorders>
              <w:top w:val="single" w:sz="6" w:space="0" w:color="auto"/>
              <w:left w:val="single" w:sz="6" w:space="0" w:color="auto"/>
              <w:bottom w:val="single" w:sz="6" w:space="0" w:color="auto"/>
              <w:right w:val="single" w:sz="6" w:space="0" w:color="auto"/>
            </w:tcBorders>
            <w:vAlign w:val="center"/>
            <w:hideMark/>
          </w:tcPr>
          <w:p w14:paraId="7B36404B" w14:textId="77777777" w:rsidR="000C1E0E" w:rsidRDefault="000C1E0E" w:rsidP="0098752B">
            <w:pPr>
              <w:spacing w:line="240" w:lineRule="auto"/>
              <w:jc w:val="center"/>
              <w:rPr>
                <w:sz w:val="24"/>
                <w:szCs w:val="24"/>
              </w:rPr>
            </w:pPr>
            <w:r>
              <w:rPr>
                <w:sz w:val="24"/>
                <w:szCs w:val="24"/>
              </w:rPr>
              <w:t>ruAAA</w:t>
            </w:r>
          </w:p>
        </w:tc>
        <w:tc>
          <w:tcPr>
            <w:tcW w:w="1268" w:type="dxa"/>
            <w:tcBorders>
              <w:top w:val="single" w:sz="6" w:space="0" w:color="auto"/>
              <w:left w:val="single" w:sz="6" w:space="0" w:color="auto"/>
              <w:bottom w:val="single" w:sz="6" w:space="0" w:color="auto"/>
              <w:right w:val="single" w:sz="6" w:space="0" w:color="auto"/>
            </w:tcBorders>
            <w:vAlign w:val="center"/>
            <w:hideMark/>
          </w:tcPr>
          <w:p w14:paraId="6B4D89CF" w14:textId="77777777" w:rsidR="000C1E0E" w:rsidRDefault="000C1E0E" w:rsidP="0098752B">
            <w:pPr>
              <w:spacing w:line="240" w:lineRule="auto"/>
              <w:jc w:val="center"/>
              <w:rPr>
                <w:sz w:val="24"/>
                <w:szCs w:val="24"/>
              </w:rPr>
            </w:pPr>
            <w:r>
              <w:rPr>
                <w:sz w:val="24"/>
                <w:szCs w:val="24"/>
              </w:rPr>
              <w:t>AAA(RU)</w:t>
            </w:r>
          </w:p>
        </w:tc>
        <w:tc>
          <w:tcPr>
            <w:tcW w:w="1449" w:type="dxa"/>
            <w:tcBorders>
              <w:top w:val="single" w:sz="6" w:space="0" w:color="auto"/>
              <w:left w:val="single" w:sz="6" w:space="0" w:color="auto"/>
              <w:bottom w:val="single" w:sz="6" w:space="0" w:color="auto"/>
              <w:right w:val="single" w:sz="6" w:space="0" w:color="auto"/>
            </w:tcBorders>
            <w:vAlign w:val="center"/>
            <w:hideMark/>
          </w:tcPr>
          <w:p w14:paraId="18ACC11D" w14:textId="77777777" w:rsidR="000C1E0E" w:rsidRDefault="000C1E0E" w:rsidP="0098752B">
            <w:pPr>
              <w:spacing w:line="240" w:lineRule="auto"/>
              <w:jc w:val="center"/>
              <w:rPr>
                <w:sz w:val="24"/>
                <w:szCs w:val="24"/>
              </w:rPr>
            </w:pPr>
            <w:r>
              <w:rPr>
                <w:sz w:val="24"/>
                <w:szCs w:val="24"/>
              </w:rPr>
              <w:t>0,32%</w:t>
            </w:r>
          </w:p>
        </w:tc>
        <w:tc>
          <w:tcPr>
            <w:tcW w:w="1423" w:type="dxa"/>
            <w:tcBorders>
              <w:top w:val="single" w:sz="6" w:space="0" w:color="auto"/>
              <w:left w:val="single" w:sz="6" w:space="0" w:color="auto"/>
              <w:bottom w:val="single" w:sz="6" w:space="0" w:color="auto"/>
              <w:right w:val="single" w:sz="12" w:space="0" w:color="auto"/>
            </w:tcBorders>
            <w:vAlign w:val="center"/>
            <w:hideMark/>
          </w:tcPr>
          <w:p w14:paraId="36793334" w14:textId="77777777" w:rsidR="000C1E0E" w:rsidRDefault="000C1E0E" w:rsidP="0098752B">
            <w:pPr>
              <w:spacing w:line="240" w:lineRule="auto"/>
              <w:jc w:val="center"/>
              <w:rPr>
                <w:sz w:val="24"/>
                <w:szCs w:val="24"/>
              </w:rPr>
            </w:pPr>
            <w:r>
              <w:rPr>
                <w:sz w:val="24"/>
                <w:szCs w:val="24"/>
              </w:rPr>
              <w:t>55%</w:t>
            </w:r>
          </w:p>
        </w:tc>
      </w:tr>
      <w:tr w:rsidR="000C1E0E" w14:paraId="74C6C3CB" w14:textId="77777777" w:rsidTr="0098752B">
        <w:trPr>
          <w:trHeight w:val="340"/>
          <w:jc w:val="center"/>
        </w:trPr>
        <w:tc>
          <w:tcPr>
            <w:tcW w:w="1355" w:type="dxa"/>
            <w:tcBorders>
              <w:top w:val="single" w:sz="6" w:space="0" w:color="auto"/>
              <w:left w:val="single" w:sz="12" w:space="0" w:color="auto"/>
              <w:bottom w:val="single" w:sz="6" w:space="0" w:color="auto"/>
              <w:right w:val="single" w:sz="6" w:space="0" w:color="auto"/>
            </w:tcBorders>
            <w:vAlign w:val="center"/>
            <w:hideMark/>
          </w:tcPr>
          <w:p w14:paraId="4BE2385C" w14:textId="77777777" w:rsidR="000C1E0E" w:rsidRDefault="000C1E0E" w:rsidP="0098752B">
            <w:pPr>
              <w:spacing w:line="240" w:lineRule="auto"/>
              <w:jc w:val="center"/>
              <w:rPr>
                <w:sz w:val="24"/>
                <w:szCs w:val="24"/>
              </w:rPr>
            </w:pPr>
            <w:r>
              <w:rPr>
                <w:sz w:val="24"/>
                <w:szCs w:val="24"/>
              </w:rPr>
              <w:t>BB+</w:t>
            </w:r>
          </w:p>
        </w:tc>
        <w:tc>
          <w:tcPr>
            <w:tcW w:w="1346" w:type="dxa"/>
            <w:tcBorders>
              <w:top w:val="single" w:sz="6" w:space="0" w:color="auto"/>
              <w:left w:val="single" w:sz="6" w:space="0" w:color="auto"/>
              <w:bottom w:val="single" w:sz="6" w:space="0" w:color="auto"/>
              <w:right w:val="single" w:sz="6" w:space="0" w:color="auto"/>
            </w:tcBorders>
            <w:vAlign w:val="center"/>
            <w:hideMark/>
          </w:tcPr>
          <w:p w14:paraId="4098FC3C" w14:textId="77777777" w:rsidR="000C1E0E" w:rsidRDefault="000C1E0E" w:rsidP="0098752B">
            <w:pPr>
              <w:spacing w:line="240" w:lineRule="auto"/>
              <w:jc w:val="center"/>
              <w:rPr>
                <w:sz w:val="24"/>
                <w:szCs w:val="24"/>
              </w:rPr>
            </w:pPr>
            <w:r>
              <w:rPr>
                <w:sz w:val="24"/>
                <w:szCs w:val="24"/>
              </w:rPr>
              <w:t>Ba1</w:t>
            </w:r>
          </w:p>
        </w:tc>
        <w:tc>
          <w:tcPr>
            <w:tcW w:w="1326" w:type="dxa"/>
            <w:tcBorders>
              <w:top w:val="single" w:sz="6" w:space="0" w:color="auto"/>
              <w:left w:val="single" w:sz="6" w:space="0" w:color="auto"/>
              <w:bottom w:val="single" w:sz="6" w:space="0" w:color="auto"/>
              <w:right w:val="single" w:sz="6" w:space="0" w:color="auto"/>
            </w:tcBorders>
            <w:vAlign w:val="center"/>
            <w:hideMark/>
          </w:tcPr>
          <w:p w14:paraId="48116955" w14:textId="77777777" w:rsidR="000C1E0E" w:rsidRDefault="000C1E0E" w:rsidP="0098752B">
            <w:pPr>
              <w:spacing w:line="240" w:lineRule="auto"/>
              <w:jc w:val="center"/>
              <w:rPr>
                <w:sz w:val="24"/>
                <w:szCs w:val="24"/>
              </w:rPr>
            </w:pPr>
            <w:r>
              <w:rPr>
                <w:sz w:val="24"/>
                <w:szCs w:val="24"/>
              </w:rPr>
              <w:t>BB+</w:t>
            </w:r>
          </w:p>
        </w:tc>
        <w:tc>
          <w:tcPr>
            <w:tcW w:w="1268" w:type="dxa"/>
            <w:tcBorders>
              <w:top w:val="single" w:sz="6" w:space="0" w:color="auto"/>
              <w:left w:val="single" w:sz="6" w:space="0" w:color="auto"/>
              <w:bottom w:val="single" w:sz="6" w:space="0" w:color="auto"/>
              <w:right w:val="single" w:sz="6" w:space="0" w:color="auto"/>
            </w:tcBorders>
            <w:vAlign w:val="center"/>
            <w:hideMark/>
          </w:tcPr>
          <w:p w14:paraId="5F02AC0E" w14:textId="77777777" w:rsidR="000C1E0E" w:rsidRDefault="000C1E0E" w:rsidP="0098752B">
            <w:pPr>
              <w:spacing w:line="240" w:lineRule="auto"/>
              <w:jc w:val="center"/>
              <w:rPr>
                <w:sz w:val="24"/>
                <w:szCs w:val="24"/>
              </w:rPr>
            </w:pPr>
            <w:r>
              <w:rPr>
                <w:sz w:val="24"/>
                <w:szCs w:val="24"/>
              </w:rPr>
              <w:t>ruAA+, ruAA</w:t>
            </w:r>
          </w:p>
        </w:tc>
        <w:tc>
          <w:tcPr>
            <w:tcW w:w="1268" w:type="dxa"/>
            <w:tcBorders>
              <w:top w:val="single" w:sz="6" w:space="0" w:color="auto"/>
              <w:left w:val="single" w:sz="6" w:space="0" w:color="auto"/>
              <w:bottom w:val="single" w:sz="6" w:space="0" w:color="auto"/>
              <w:right w:val="single" w:sz="6" w:space="0" w:color="auto"/>
            </w:tcBorders>
            <w:vAlign w:val="center"/>
            <w:hideMark/>
          </w:tcPr>
          <w:p w14:paraId="048F8E8C" w14:textId="77777777" w:rsidR="000C1E0E" w:rsidRDefault="000C1E0E" w:rsidP="0098752B">
            <w:pPr>
              <w:spacing w:line="240" w:lineRule="auto"/>
              <w:jc w:val="center"/>
              <w:rPr>
                <w:sz w:val="24"/>
                <w:szCs w:val="24"/>
                <w:lang w:val="en-US"/>
              </w:rPr>
            </w:pPr>
            <w:r>
              <w:rPr>
                <w:sz w:val="24"/>
                <w:szCs w:val="24"/>
                <w:lang w:val="en-US"/>
              </w:rPr>
              <w:t>AA+(RU), AA(RU), AA-(RU)</w:t>
            </w:r>
          </w:p>
        </w:tc>
        <w:tc>
          <w:tcPr>
            <w:tcW w:w="1449" w:type="dxa"/>
            <w:tcBorders>
              <w:top w:val="single" w:sz="6" w:space="0" w:color="auto"/>
              <w:left w:val="single" w:sz="6" w:space="0" w:color="auto"/>
              <w:bottom w:val="single" w:sz="6" w:space="0" w:color="auto"/>
              <w:right w:val="single" w:sz="6" w:space="0" w:color="auto"/>
            </w:tcBorders>
            <w:vAlign w:val="center"/>
            <w:hideMark/>
          </w:tcPr>
          <w:p w14:paraId="125C5532" w14:textId="77777777" w:rsidR="000C1E0E" w:rsidRDefault="000C1E0E" w:rsidP="0098752B">
            <w:pPr>
              <w:spacing w:line="240" w:lineRule="auto"/>
              <w:jc w:val="center"/>
              <w:rPr>
                <w:sz w:val="24"/>
                <w:szCs w:val="24"/>
              </w:rPr>
            </w:pPr>
            <w:r>
              <w:rPr>
                <w:sz w:val="24"/>
                <w:szCs w:val="24"/>
              </w:rPr>
              <w:t>0,58%</w:t>
            </w:r>
          </w:p>
        </w:tc>
        <w:tc>
          <w:tcPr>
            <w:tcW w:w="1423" w:type="dxa"/>
            <w:tcBorders>
              <w:top w:val="single" w:sz="6" w:space="0" w:color="auto"/>
              <w:left w:val="single" w:sz="6" w:space="0" w:color="auto"/>
              <w:bottom w:val="single" w:sz="6" w:space="0" w:color="auto"/>
              <w:right w:val="single" w:sz="12" w:space="0" w:color="auto"/>
            </w:tcBorders>
            <w:vAlign w:val="center"/>
            <w:hideMark/>
          </w:tcPr>
          <w:p w14:paraId="7B3D2BD0" w14:textId="77777777" w:rsidR="000C1E0E" w:rsidRDefault="000C1E0E" w:rsidP="0098752B">
            <w:pPr>
              <w:spacing w:line="240" w:lineRule="auto"/>
              <w:jc w:val="center"/>
              <w:rPr>
                <w:sz w:val="24"/>
                <w:szCs w:val="24"/>
              </w:rPr>
            </w:pPr>
            <w:r>
              <w:rPr>
                <w:sz w:val="24"/>
                <w:szCs w:val="24"/>
              </w:rPr>
              <w:t>55%</w:t>
            </w:r>
          </w:p>
        </w:tc>
      </w:tr>
      <w:tr w:rsidR="000C1E0E" w14:paraId="759EEEA5" w14:textId="77777777" w:rsidTr="0098752B">
        <w:trPr>
          <w:trHeight w:val="340"/>
          <w:jc w:val="center"/>
        </w:trPr>
        <w:tc>
          <w:tcPr>
            <w:tcW w:w="1355" w:type="dxa"/>
            <w:tcBorders>
              <w:top w:val="single" w:sz="6" w:space="0" w:color="auto"/>
              <w:left w:val="single" w:sz="12" w:space="0" w:color="auto"/>
              <w:bottom w:val="single" w:sz="6" w:space="0" w:color="auto"/>
              <w:right w:val="single" w:sz="6" w:space="0" w:color="auto"/>
            </w:tcBorders>
            <w:vAlign w:val="center"/>
            <w:hideMark/>
          </w:tcPr>
          <w:p w14:paraId="08523EE8" w14:textId="77777777" w:rsidR="000C1E0E" w:rsidRDefault="000C1E0E" w:rsidP="0098752B">
            <w:pPr>
              <w:spacing w:line="240" w:lineRule="auto"/>
              <w:jc w:val="center"/>
              <w:rPr>
                <w:sz w:val="24"/>
                <w:szCs w:val="24"/>
              </w:rPr>
            </w:pPr>
            <w:r>
              <w:rPr>
                <w:sz w:val="24"/>
                <w:szCs w:val="24"/>
              </w:rPr>
              <w:t>BB</w:t>
            </w:r>
          </w:p>
        </w:tc>
        <w:tc>
          <w:tcPr>
            <w:tcW w:w="1346" w:type="dxa"/>
            <w:tcBorders>
              <w:top w:val="single" w:sz="6" w:space="0" w:color="auto"/>
              <w:left w:val="single" w:sz="6" w:space="0" w:color="auto"/>
              <w:bottom w:val="single" w:sz="6" w:space="0" w:color="auto"/>
              <w:right w:val="single" w:sz="6" w:space="0" w:color="auto"/>
            </w:tcBorders>
            <w:vAlign w:val="center"/>
            <w:hideMark/>
          </w:tcPr>
          <w:p w14:paraId="5643FD02" w14:textId="77777777" w:rsidR="000C1E0E" w:rsidRDefault="000C1E0E" w:rsidP="0098752B">
            <w:pPr>
              <w:spacing w:line="240" w:lineRule="auto"/>
              <w:jc w:val="center"/>
              <w:rPr>
                <w:sz w:val="24"/>
                <w:szCs w:val="24"/>
              </w:rPr>
            </w:pPr>
            <w:r>
              <w:rPr>
                <w:sz w:val="24"/>
                <w:szCs w:val="24"/>
              </w:rPr>
              <w:t>Ba2</w:t>
            </w:r>
          </w:p>
        </w:tc>
        <w:tc>
          <w:tcPr>
            <w:tcW w:w="1326" w:type="dxa"/>
            <w:tcBorders>
              <w:top w:val="single" w:sz="6" w:space="0" w:color="auto"/>
              <w:left w:val="single" w:sz="6" w:space="0" w:color="auto"/>
              <w:bottom w:val="single" w:sz="6" w:space="0" w:color="auto"/>
              <w:right w:val="single" w:sz="6" w:space="0" w:color="auto"/>
            </w:tcBorders>
            <w:vAlign w:val="center"/>
            <w:hideMark/>
          </w:tcPr>
          <w:p w14:paraId="094E0E72" w14:textId="77777777" w:rsidR="000C1E0E" w:rsidRDefault="000C1E0E" w:rsidP="0098752B">
            <w:pPr>
              <w:spacing w:line="240" w:lineRule="auto"/>
              <w:jc w:val="center"/>
              <w:rPr>
                <w:sz w:val="24"/>
                <w:szCs w:val="24"/>
              </w:rPr>
            </w:pPr>
            <w:r>
              <w:rPr>
                <w:sz w:val="24"/>
                <w:szCs w:val="24"/>
              </w:rPr>
              <w:t>BB</w:t>
            </w:r>
          </w:p>
        </w:tc>
        <w:tc>
          <w:tcPr>
            <w:tcW w:w="1268" w:type="dxa"/>
            <w:tcBorders>
              <w:top w:val="single" w:sz="6" w:space="0" w:color="auto"/>
              <w:left w:val="single" w:sz="6" w:space="0" w:color="auto"/>
              <w:bottom w:val="single" w:sz="6" w:space="0" w:color="auto"/>
              <w:right w:val="single" w:sz="6" w:space="0" w:color="auto"/>
            </w:tcBorders>
            <w:vAlign w:val="center"/>
            <w:hideMark/>
          </w:tcPr>
          <w:p w14:paraId="128CE14A" w14:textId="77777777" w:rsidR="000C1E0E" w:rsidRDefault="000C1E0E" w:rsidP="0098752B">
            <w:pPr>
              <w:spacing w:line="240" w:lineRule="auto"/>
              <w:jc w:val="center"/>
              <w:rPr>
                <w:sz w:val="24"/>
                <w:szCs w:val="24"/>
              </w:rPr>
            </w:pPr>
            <w:r>
              <w:rPr>
                <w:sz w:val="24"/>
                <w:szCs w:val="24"/>
              </w:rPr>
              <w:t>ruAA-, ruA+</w:t>
            </w:r>
          </w:p>
        </w:tc>
        <w:tc>
          <w:tcPr>
            <w:tcW w:w="1268" w:type="dxa"/>
            <w:tcBorders>
              <w:top w:val="single" w:sz="6" w:space="0" w:color="auto"/>
              <w:left w:val="single" w:sz="6" w:space="0" w:color="auto"/>
              <w:bottom w:val="single" w:sz="6" w:space="0" w:color="auto"/>
              <w:right w:val="single" w:sz="6" w:space="0" w:color="auto"/>
            </w:tcBorders>
            <w:vAlign w:val="center"/>
            <w:hideMark/>
          </w:tcPr>
          <w:p w14:paraId="41AB9E5D" w14:textId="77777777" w:rsidR="000C1E0E" w:rsidRDefault="000C1E0E" w:rsidP="0098752B">
            <w:pPr>
              <w:spacing w:line="240" w:lineRule="auto"/>
              <w:jc w:val="center"/>
              <w:rPr>
                <w:sz w:val="24"/>
                <w:szCs w:val="24"/>
              </w:rPr>
            </w:pPr>
            <w:r>
              <w:rPr>
                <w:sz w:val="24"/>
                <w:szCs w:val="24"/>
              </w:rPr>
              <w:t>A+(RU), A(RU)</w:t>
            </w:r>
          </w:p>
        </w:tc>
        <w:tc>
          <w:tcPr>
            <w:tcW w:w="1449" w:type="dxa"/>
            <w:tcBorders>
              <w:top w:val="single" w:sz="6" w:space="0" w:color="auto"/>
              <w:left w:val="single" w:sz="6" w:space="0" w:color="auto"/>
              <w:bottom w:val="single" w:sz="6" w:space="0" w:color="auto"/>
              <w:right w:val="single" w:sz="6" w:space="0" w:color="auto"/>
            </w:tcBorders>
            <w:vAlign w:val="center"/>
            <w:hideMark/>
          </w:tcPr>
          <w:p w14:paraId="6FE71E63" w14:textId="77777777" w:rsidR="000C1E0E" w:rsidRDefault="000C1E0E" w:rsidP="0098752B">
            <w:pPr>
              <w:spacing w:line="240" w:lineRule="auto"/>
              <w:jc w:val="center"/>
              <w:rPr>
                <w:sz w:val="24"/>
                <w:szCs w:val="24"/>
              </w:rPr>
            </w:pPr>
            <w:r>
              <w:rPr>
                <w:sz w:val="24"/>
                <w:szCs w:val="24"/>
              </w:rPr>
              <w:t>0,96%</w:t>
            </w:r>
          </w:p>
        </w:tc>
        <w:tc>
          <w:tcPr>
            <w:tcW w:w="1423" w:type="dxa"/>
            <w:tcBorders>
              <w:top w:val="single" w:sz="6" w:space="0" w:color="auto"/>
              <w:left w:val="single" w:sz="6" w:space="0" w:color="auto"/>
              <w:bottom w:val="single" w:sz="6" w:space="0" w:color="auto"/>
              <w:right w:val="single" w:sz="12" w:space="0" w:color="auto"/>
            </w:tcBorders>
            <w:vAlign w:val="center"/>
            <w:hideMark/>
          </w:tcPr>
          <w:p w14:paraId="1085BC8C" w14:textId="77777777" w:rsidR="000C1E0E" w:rsidRDefault="000C1E0E" w:rsidP="0098752B">
            <w:pPr>
              <w:spacing w:line="240" w:lineRule="auto"/>
              <w:jc w:val="center"/>
              <w:rPr>
                <w:sz w:val="24"/>
                <w:szCs w:val="24"/>
              </w:rPr>
            </w:pPr>
            <w:r>
              <w:rPr>
                <w:sz w:val="24"/>
                <w:szCs w:val="24"/>
              </w:rPr>
              <w:t>55%</w:t>
            </w:r>
          </w:p>
        </w:tc>
      </w:tr>
      <w:tr w:rsidR="000C1E0E" w14:paraId="6BEEFF07" w14:textId="77777777" w:rsidTr="0098752B">
        <w:trPr>
          <w:trHeight w:val="340"/>
          <w:jc w:val="center"/>
        </w:trPr>
        <w:tc>
          <w:tcPr>
            <w:tcW w:w="1355" w:type="dxa"/>
            <w:tcBorders>
              <w:top w:val="single" w:sz="6" w:space="0" w:color="auto"/>
              <w:left w:val="single" w:sz="12" w:space="0" w:color="auto"/>
              <w:bottom w:val="single" w:sz="6" w:space="0" w:color="auto"/>
              <w:right w:val="single" w:sz="6" w:space="0" w:color="auto"/>
            </w:tcBorders>
            <w:vAlign w:val="center"/>
            <w:hideMark/>
          </w:tcPr>
          <w:p w14:paraId="6D361B16" w14:textId="77777777" w:rsidR="000C1E0E" w:rsidRDefault="000C1E0E" w:rsidP="0098752B">
            <w:pPr>
              <w:spacing w:line="240" w:lineRule="auto"/>
              <w:jc w:val="center"/>
              <w:rPr>
                <w:sz w:val="24"/>
                <w:szCs w:val="24"/>
              </w:rPr>
            </w:pPr>
            <w:r>
              <w:rPr>
                <w:sz w:val="24"/>
                <w:szCs w:val="24"/>
              </w:rPr>
              <w:t>BB-</w:t>
            </w:r>
          </w:p>
        </w:tc>
        <w:tc>
          <w:tcPr>
            <w:tcW w:w="1346" w:type="dxa"/>
            <w:tcBorders>
              <w:top w:val="single" w:sz="6" w:space="0" w:color="auto"/>
              <w:left w:val="single" w:sz="6" w:space="0" w:color="auto"/>
              <w:bottom w:val="single" w:sz="6" w:space="0" w:color="auto"/>
              <w:right w:val="single" w:sz="6" w:space="0" w:color="auto"/>
            </w:tcBorders>
            <w:vAlign w:val="center"/>
            <w:hideMark/>
          </w:tcPr>
          <w:p w14:paraId="4FBA1174" w14:textId="77777777" w:rsidR="000C1E0E" w:rsidRDefault="000C1E0E" w:rsidP="0098752B">
            <w:pPr>
              <w:spacing w:line="240" w:lineRule="auto"/>
              <w:jc w:val="center"/>
              <w:rPr>
                <w:sz w:val="24"/>
                <w:szCs w:val="24"/>
              </w:rPr>
            </w:pPr>
            <w:r>
              <w:rPr>
                <w:sz w:val="24"/>
                <w:szCs w:val="24"/>
              </w:rPr>
              <w:t>Ba3</w:t>
            </w:r>
          </w:p>
        </w:tc>
        <w:tc>
          <w:tcPr>
            <w:tcW w:w="1326" w:type="dxa"/>
            <w:tcBorders>
              <w:top w:val="single" w:sz="6" w:space="0" w:color="auto"/>
              <w:left w:val="single" w:sz="6" w:space="0" w:color="auto"/>
              <w:bottom w:val="single" w:sz="6" w:space="0" w:color="auto"/>
              <w:right w:val="single" w:sz="6" w:space="0" w:color="auto"/>
            </w:tcBorders>
            <w:vAlign w:val="center"/>
            <w:hideMark/>
          </w:tcPr>
          <w:p w14:paraId="303C6FB9" w14:textId="77777777" w:rsidR="000C1E0E" w:rsidRDefault="000C1E0E" w:rsidP="0098752B">
            <w:pPr>
              <w:spacing w:line="240" w:lineRule="auto"/>
              <w:jc w:val="center"/>
              <w:rPr>
                <w:sz w:val="24"/>
                <w:szCs w:val="24"/>
              </w:rPr>
            </w:pPr>
            <w:r>
              <w:rPr>
                <w:sz w:val="24"/>
                <w:szCs w:val="24"/>
              </w:rPr>
              <w:t>BB-</w:t>
            </w:r>
          </w:p>
        </w:tc>
        <w:tc>
          <w:tcPr>
            <w:tcW w:w="1268" w:type="dxa"/>
            <w:tcBorders>
              <w:top w:val="single" w:sz="6" w:space="0" w:color="auto"/>
              <w:left w:val="single" w:sz="6" w:space="0" w:color="auto"/>
              <w:bottom w:val="single" w:sz="6" w:space="0" w:color="auto"/>
              <w:right w:val="single" w:sz="6" w:space="0" w:color="auto"/>
            </w:tcBorders>
            <w:vAlign w:val="center"/>
            <w:hideMark/>
          </w:tcPr>
          <w:p w14:paraId="1996EB38" w14:textId="77777777" w:rsidR="000C1E0E" w:rsidRDefault="000C1E0E" w:rsidP="0098752B">
            <w:pPr>
              <w:spacing w:line="240" w:lineRule="auto"/>
              <w:jc w:val="center"/>
              <w:rPr>
                <w:sz w:val="24"/>
                <w:szCs w:val="24"/>
              </w:rPr>
            </w:pPr>
            <w:r>
              <w:rPr>
                <w:sz w:val="24"/>
                <w:szCs w:val="24"/>
              </w:rPr>
              <w:t>ruA, ruA-, ruBBB+</w:t>
            </w:r>
          </w:p>
        </w:tc>
        <w:tc>
          <w:tcPr>
            <w:tcW w:w="1268" w:type="dxa"/>
            <w:tcBorders>
              <w:top w:val="single" w:sz="6" w:space="0" w:color="auto"/>
              <w:left w:val="single" w:sz="6" w:space="0" w:color="auto"/>
              <w:bottom w:val="single" w:sz="6" w:space="0" w:color="auto"/>
              <w:right w:val="single" w:sz="6" w:space="0" w:color="auto"/>
            </w:tcBorders>
            <w:vAlign w:val="center"/>
            <w:hideMark/>
          </w:tcPr>
          <w:p w14:paraId="4DCA831B" w14:textId="77777777" w:rsidR="000C1E0E" w:rsidRDefault="000C1E0E" w:rsidP="0098752B">
            <w:pPr>
              <w:spacing w:line="240" w:lineRule="auto"/>
              <w:jc w:val="center"/>
              <w:rPr>
                <w:sz w:val="24"/>
                <w:szCs w:val="24"/>
              </w:rPr>
            </w:pPr>
            <w:r>
              <w:rPr>
                <w:sz w:val="24"/>
                <w:szCs w:val="24"/>
              </w:rPr>
              <w:t>A-(RU), BBB+(RU)</w:t>
            </w:r>
          </w:p>
        </w:tc>
        <w:tc>
          <w:tcPr>
            <w:tcW w:w="1449" w:type="dxa"/>
            <w:tcBorders>
              <w:top w:val="single" w:sz="6" w:space="0" w:color="auto"/>
              <w:left w:val="single" w:sz="6" w:space="0" w:color="auto"/>
              <w:bottom w:val="single" w:sz="6" w:space="0" w:color="auto"/>
              <w:right w:val="single" w:sz="6" w:space="0" w:color="auto"/>
            </w:tcBorders>
            <w:vAlign w:val="center"/>
            <w:hideMark/>
          </w:tcPr>
          <w:p w14:paraId="6D1492C0" w14:textId="77777777" w:rsidR="000C1E0E" w:rsidRDefault="000C1E0E" w:rsidP="0098752B">
            <w:pPr>
              <w:spacing w:line="240" w:lineRule="auto"/>
              <w:jc w:val="center"/>
              <w:rPr>
                <w:sz w:val="24"/>
                <w:szCs w:val="24"/>
              </w:rPr>
            </w:pPr>
            <w:r>
              <w:rPr>
                <w:sz w:val="24"/>
                <w:szCs w:val="24"/>
              </w:rPr>
              <w:t>1,58%</w:t>
            </w:r>
          </w:p>
        </w:tc>
        <w:tc>
          <w:tcPr>
            <w:tcW w:w="1423" w:type="dxa"/>
            <w:tcBorders>
              <w:top w:val="single" w:sz="6" w:space="0" w:color="auto"/>
              <w:left w:val="single" w:sz="6" w:space="0" w:color="auto"/>
              <w:bottom w:val="single" w:sz="6" w:space="0" w:color="auto"/>
              <w:right w:val="single" w:sz="12" w:space="0" w:color="auto"/>
            </w:tcBorders>
            <w:vAlign w:val="center"/>
            <w:hideMark/>
          </w:tcPr>
          <w:p w14:paraId="494EB7D3" w14:textId="77777777" w:rsidR="000C1E0E" w:rsidRDefault="000C1E0E" w:rsidP="0098752B">
            <w:pPr>
              <w:spacing w:line="240" w:lineRule="auto"/>
              <w:jc w:val="center"/>
              <w:rPr>
                <w:sz w:val="24"/>
                <w:szCs w:val="24"/>
              </w:rPr>
            </w:pPr>
            <w:r>
              <w:rPr>
                <w:sz w:val="24"/>
                <w:szCs w:val="24"/>
              </w:rPr>
              <w:t>55%</w:t>
            </w:r>
          </w:p>
        </w:tc>
      </w:tr>
      <w:tr w:rsidR="000C1E0E" w14:paraId="7D747387" w14:textId="77777777" w:rsidTr="0098752B">
        <w:trPr>
          <w:trHeight w:val="340"/>
          <w:jc w:val="center"/>
        </w:trPr>
        <w:tc>
          <w:tcPr>
            <w:tcW w:w="1355" w:type="dxa"/>
            <w:tcBorders>
              <w:top w:val="single" w:sz="6" w:space="0" w:color="auto"/>
              <w:left w:val="single" w:sz="12" w:space="0" w:color="auto"/>
              <w:bottom w:val="single" w:sz="6" w:space="0" w:color="auto"/>
              <w:right w:val="single" w:sz="6" w:space="0" w:color="auto"/>
            </w:tcBorders>
            <w:vAlign w:val="center"/>
            <w:hideMark/>
          </w:tcPr>
          <w:p w14:paraId="4ABAA687" w14:textId="77777777" w:rsidR="000C1E0E" w:rsidRDefault="000C1E0E" w:rsidP="0098752B">
            <w:pPr>
              <w:spacing w:line="240" w:lineRule="auto"/>
              <w:jc w:val="center"/>
              <w:rPr>
                <w:sz w:val="24"/>
                <w:szCs w:val="24"/>
              </w:rPr>
            </w:pPr>
            <w:r>
              <w:rPr>
                <w:sz w:val="24"/>
                <w:szCs w:val="24"/>
              </w:rPr>
              <w:t>B+</w:t>
            </w:r>
          </w:p>
        </w:tc>
        <w:tc>
          <w:tcPr>
            <w:tcW w:w="1346" w:type="dxa"/>
            <w:tcBorders>
              <w:top w:val="single" w:sz="6" w:space="0" w:color="auto"/>
              <w:left w:val="single" w:sz="6" w:space="0" w:color="auto"/>
              <w:bottom w:val="single" w:sz="6" w:space="0" w:color="auto"/>
              <w:right w:val="single" w:sz="6" w:space="0" w:color="auto"/>
            </w:tcBorders>
            <w:vAlign w:val="center"/>
            <w:hideMark/>
          </w:tcPr>
          <w:p w14:paraId="759373F6" w14:textId="77777777" w:rsidR="000C1E0E" w:rsidRDefault="000C1E0E" w:rsidP="0098752B">
            <w:pPr>
              <w:spacing w:line="240" w:lineRule="auto"/>
              <w:jc w:val="center"/>
              <w:rPr>
                <w:sz w:val="24"/>
                <w:szCs w:val="24"/>
              </w:rPr>
            </w:pPr>
            <w:r>
              <w:rPr>
                <w:sz w:val="24"/>
                <w:szCs w:val="24"/>
              </w:rPr>
              <w:t>B1</w:t>
            </w:r>
          </w:p>
        </w:tc>
        <w:tc>
          <w:tcPr>
            <w:tcW w:w="1326" w:type="dxa"/>
            <w:tcBorders>
              <w:top w:val="single" w:sz="6" w:space="0" w:color="auto"/>
              <w:left w:val="single" w:sz="6" w:space="0" w:color="auto"/>
              <w:bottom w:val="single" w:sz="6" w:space="0" w:color="auto"/>
              <w:right w:val="single" w:sz="6" w:space="0" w:color="auto"/>
            </w:tcBorders>
            <w:vAlign w:val="center"/>
            <w:hideMark/>
          </w:tcPr>
          <w:p w14:paraId="34D4AC4A" w14:textId="77777777" w:rsidR="000C1E0E" w:rsidRDefault="000C1E0E" w:rsidP="0098752B">
            <w:pPr>
              <w:spacing w:line="240" w:lineRule="auto"/>
              <w:jc w:val="center"/>
              <w:rPr>
                <w:sz w:val="24"/>
                <w:szCs w:val="24"/>
              </w:rPr>
            </w:pPr>
            <w:r>
              <w:rPr>
                <w:sz w:val="24"/>
                <w:szCs w:val="24"/>
              </w:rPr>
              <w:t>B+</w:t>
            </w:r>
          </w:p>
        </w:tc>
        <w:tc>
          <w:tcPr>
            <w:tcW w:w="1268" w:type="dxa"/>
            <w:tcBorders>
              <w:top w:val="single" w:sz="6" w:space="0" w:color="auto"/>
              <w:left w:val="single" w:sz="6" w:space="0" w:color="auto"/>
              <w:bottom w:val="single" w:sz="6" w:space="0" w:color="auto"/>
              <w:right w:val="single" w:sz="6" w:space="0" w:color="auto"/>
            </w:tcBorders>
            <w:vAlign w:val="center"/>
            <w:hideMark/>
          </w:tcPr>
          <w:p w14:paraId="5DE25964" w14:textId="77777777" w:rsidR="000C1E0E" w:rsidRDefault="000C1E0E" w:rsidP="0098752B">
            <w:pPr>
              <w:spacing w:line="240" w:lineRule="auto"/>
              <w:jc w:val="center"/>
              <w:rPr>
                <w:sz w:val="24"/>
                <w:szCs w:val="24"/>
              </w:rPr>
            </w:pPr>
            <w:r>
              <w:rPr>
                <w:sz w:val="24"/>
                <w:szCs w:val="24"/>
              </w:rPr>
              <w:t>ruBBB</w:t>
            </w:r>
          </w:p>
        </w:tc>
        <w:tc>
          <w:tcPr>
            <w:tcW w:w="1268" w:type="dxa"/>
            <w:tcBorders>
              <w:top w:val="single" w:sz="6" w:space="0" w:color="auto"/>
              <w:left w:val="single" w:sz="6" w:space="0" w:color="auto"/>
              <w:bottom w:val="single" w:sz="6" w:space="0" w:color="auto"/>
              <w:right w:val="single" w:sz="6" w:space="0" w:color="auto"/>
            </w:tcBorders>
            <w:vAlign w:val="center"/>
            <w:hideMark/>
          </w:tcPr>
          <w:p w14:paraId="4F8C283F" w14:textId="77777777" w:rsidR="000C1E0E" w:rsidRDefault="000C1E0E" w:rsidP="0098752B">
            <w:pPr>
              <w:spacing w:line="240" w:lineRule="auto"/>
              <w:jc w:val="center"/>
              <w:rPr>
                <w:sz w:val="24"/>
                <w:szCs w:val="24"/>
              </w:rPr>
            </w:pPr>
            <w:r>
              <w:rPr>
                <w:sz w:val="24"/>
                <w:szCs w:val="24"/>
              </w:rPr>
              <w:t>BBB(RU), BBB-(RU)</w:t>
            </w:r>
          </w:p>
        </w:tc>
        <w:tc>
          <w:tcPr>
            <w:tcW w:w="1449" w:type="dxa"/>
            <w:tcBorders>
              <w:top w:val="single" w:sz="6" w:space="0" w:color="auto"/>
              <w:left w:val="single" w:sz="6" w:space="0" w:color="auto"/>
              <w:bottom w:val="single" w:sz="6" w:space="0" w:color="auto"/>
              <w:right w:val="single" w:sz="6" w:space="0" w:color="auto"/>
            </w:tcBorders>
            <w:vAlign w:val="center"/>
            <w:hideMark/>
          </w:tcPr>
          <w:p w14:paraId="4EF0C756" w14:textId="77777777" w:rsidR="000C1E0E" w:rsidRDefault="000C1E0E" w:rsidP="0098752B">
            <w:pPr>
              <w:spacing w:line="240" w:lineRule="auto"/>
              <w:jc w:val="center"/>
              <w:rPr>
                <w:sz w:val="24"/>
                <w:szCs w:val="24"/>
              </w:rPr>
            </w:pPr>
            <w:r>
              <w:rPr>
                <w:sz w:val="24"/>
                <w:szCs w:val="24"/>
              </w:rPr>
              <w:t>3,36%</w:t>
            </w:r>
          </w:p>
        </w:tc>
        <w:tc>
          <w:tcPr>
            <w:tcW w:w="1423" w:type="dxa"/>
            <w:tcBorders>
              <w:top w:val="single" w:sz="6" w:space="0" w:color="auto"/>
              <w:left w:val="single" w:sz="6" w:space="0" w:color="auto"/>
              <w:bottom w:val="single" w:sz="6" w:space="0" w:color="auto"/>
              <w:right w:val="single" w:sz="12" w:space="0" w:color="auto"/>
            </w:tcBorders>
            <w:vAlign w:val="center"/>
            <w:hideMark/>
          </w:tcPr>
          <w:p w14:paraId="061C0EE7" w14:textId="77777777" w:rsidR="000C1E0E" w:rsidRDefault="000C1E0E" w:rsidP="0098752B">
            <w:pPr>
              <w:spacing w:line="240" w:lineRule="auto"/>
              <w:jc w:val="center"/>
              <w:rPr>
                <w:sz w:val="24"/>
                <w:szCs w:val="24"/>
              </w:rPr>
            </w:pPr>
            <w:r>
              <w:rPr>
                <w:sz w:val="24"/>
                <w:szCs w:val="24"/>
              </w:rPr>
              <w:t>55%</w:t>
            </w:r>
          </w:p>
        </w:tc>
      </w:tr>
      <w:tr w:rsidR="000C1E0E" w14:paraId="6BC9B119" w14:textId="77777777" w:rsidTr="0098752B">
        <w:trPr>
          <w:trHeight w:val="340"/>
          <w:jc w:val="center"/>
        </w:trPr>
        <w:tc>
          <w:tcPr>
            <w:tcW w:w="1355" w:type="dxa"/>
            <w:tcBorders>
              <w:top w:val="single" w:sz="6" w:space="0" w:color="auto"/>
              <w:left w:val="single" w:sz="12" w:space="0" w:color="auto"/>
              <w:bottom w:val="single" w:sz="6" w:space="0" w:color="auto"/>
              <w:right w:val="single" w:sz="6" w:space="0" w:color="auto"/>
            </w:tcBorders>
            <w:vAlign w:val="center"/>
            <w:hideMark/>
          </w:tcPr>
          <w:p w14:paraId="77810A69" w14:textId="77777777" w:rsidR="000C1E0E" w:rsidRDefault="000C1E0E" w:rsidP="0098752B">
            <w:pPr>
              <w:spacing w:line="240" w:lineRule="auto"/>
              <w:jc w:val="center"/>
              <w:rPr>
                <w:sz w:val="24"/>
                <w:szCs w:val="24"/>
              </w:rPr>
            </w:pPr>
            <w:r>
              <w:rPr>
                <w:sz w:val="24"/>
                <w:szCs w:val="24"/>
              </w:rPr>
              <w:t>B</w:t>
            </w:r>
          </w:p>
        </w:tc>
        <w:tc>
          <w:tcPr>
            <w:tcW w:w="1346" w:type="dxa"/>
            <w:tcBorders>
              <w:top w:val="single" w:sz="6" w:space="0" w:color="auto"/>
              <w:left w:val="single" w:sz="6" w:space="0" w:color="auto"/>
              <w:bottom w:val="single" w:sz="6" w:space="0" w:color="auto"/>
              <w:right w:val="single" w:sz="6" w:space="0" w:color="auto"/>
            </w:tcBorders>
            <w:vAlign w:val="center"/>
            <w:hideMark/>
          </w:tcPr>
          <w:p w14:paraId="2C794E77" w14:textId="77777777" w:rsidR="000C1E0E" w:rsidRDefault="000C1E0E" w:rsidP="0098752B">
            <w:pPr>
              <w:spacing w:line="240" w:lineRule="auto"/>
              <w:jc w:val="center"/>
              <w:rPr>
                <w:sz w:val="24"/>
                <w:szCs w:val="24"/>
              </w:rPr>
            </w:pPr>
            <w:r>
              <w:rPr>
                <w:sz w:val="24"/>
                <w:szCs w:val="24"/>
              </w:rPr>
              <w:t>B2</w:t>
            </w:r>
          </w:p>
        </w:tc>
        <w:tc>
          <w:tcPr>
            <w:tcW w:w="1326" w:type="dxa"/>
            <w:tcBorders>
              <w:top w:val="single" w:sz="6" w:space="0" w:color="auto"/>
              <w:left w:val="single" w:sz="6" w:space="0" w:color="auto"/>
              <w:bottom w:val="single" w:sz="6" w:space="0" w:color="auto"/>
              <w:right w:val="single" w:sz="6" w:space="0" w:color="auto"/>
            </w:tcBorders>
            <w:vAlign w:val="center"/>
            <w:hideMark/>
          </w:tcPr>
          <w:p w14:paraId="44C3E97F" w14:textId="77777777" w:rsidR="000C1E0E" w:rsidRDefault="000C1E0E" w:rsidP="0098752B">
            <w:pPr>
              <w:spacing w:line="240" w:lineRule="auto"/>
              <w:jc w:val="center"/>
              <w:rPr>
                <w:sz w:val="24"/>
                <w:szCs w:val="24"/>
              </w:rPr>
            </w:pPr>
            <w:r>
              <w:rPr>
                <w:sz w:val="24"/>
                <w:szCs w:val="24"/>
              </w:rPr>
              <w:t>B</w:t>
            </w:r>
          </w:p>
        </w:tc>
        <w:tc>
          <w:tcPr>
            <w:tcW w:w="1268" w:type="dxa"/>
            <w:tcBorders>
              <w:top w:val="single" w:sz="6" w:space="0" w:color="auto"/>
              <w:left w:val="single" w:sz="6" w:space="0" w:color="auto"/>
              <w:bottom w:val="single" w:sz="6" w:space="0" w:color="auto"/>
              <w:right w:val="single" w:sz="6" w:space="0" w:color="auto"/>
            </w:tcBorders>
            <w:vAlign w:val="center"/>
            <w:hideMark/>
          </w:tcPr>
          <w:p w14:paraId="2AE184CE" w14:textId="77777777" w:rsidR="000C1E0E" w:rsidRDefault="000C1E0E" w:rsidP="0098752B">
            <w:pPr>
              <w:spacing w:line="240" w:lineRule="auto"/>
              <w:jc w:val="center"/>
              <w:rPr>
                <w:sz w:val="24"/>
                <w:szCs w:val="24"/>
              </w:rPr>
            </w:pPr>
            <w:r>
              <w:rPr>
                <w:sz w:val="24"/>
                <w:szCs w:val="24"/>
              </w:rPr>
              <w:t>ruBBB-, ruBB+</w:t>
            </w:r>
          </w:p>
        </w:tc>
        <w:tc>
          <w:tcPr>
            <w:tcW w:w="1268" w:type="dxa"/>
            <w:tcBorders>
              <w:top w:val="single" w:sz="6" w:space="0" w:color="auto"/>
              <w:left w:val="single" w:sz="6" w:space="0" w:color="auto"/>
              <w:bottom w:val="single" w:sz="6" w:space="0" w:color="auto"/>
              <w:right w:val="single" w:sz="6" w:space="0" w:color="auto"/>
            </w:tcBorders>
            <w:vAlign w:val="center"/>
            <w:hideMark/>
          </w:tcPr>
          <w:p w14:paraId="28B09A3F" w14:textId="77777777" w:rsidR="000C1E0E" w:rsidRDefault="000C1E0E" w:rsidP="0098752B">
            <w:pPr>
              <w:spacing w:line="240" w:lineRule="auto"/>
              <w:jc w:val="center"/>
              <w:rPr>
                <w:sz w:val="24"/>
                <w:szCs w:val="24"/>
              </w:rPr>
            </w:pPr>
            <w:r>
              <w:rPr>
                <w:sz w:val="24"/>
                <w:szCs w:val="24"/>
              </w:rPr>
              <w:t>BB+(RU)</w:t>
            </w:r>
          </w:p>
        </w:tc>
        <w:tc>
          <w:tcPr>
            <w:tcW w:w="1449" w:type="dxa"/>
            <w:tcBorders>
              <w:top w:val="single" w:sz="6" w:space="0" w:color="auto"/>
              <w:left w:val="single" w:sz="6" w:space="0" w:color="auto"/>
              <w:bottom w:val="single" w:sz="6" w:space="0" w:color="auto"/>
              <w:right w:val="single" w:sz="6" w:space="0" w:color="auto"/>
            </w:tcBorders>
            <w:vAlign w:val="center"/>
            <w:hideMark/>
          </w:tcPr>
          <w:p w14:paraId="1A1A1A56" w14:textId="77777777" w:rsidR="000C1E0E" w:rsidRDefault="000C1E0E" w:rsidP="0098752B">
            <w:pPr>
              <w:spacing w:line="240" w:lineRule="auto"/>
              <w:jc w:val="center"/>
              <w:rPr>
                <w:sz w:val="24"/>
                <w:szCs w:val="24"/>
              </w:rPr>
            </w:pPr>
            <w:r>
              <w:rPr>
                <w:sz w:val="24"/>
                <w:szCs w:val="24"/>
              </w:rPr>
              <w:t>7,12%</w:t>
            </w:r>
          </w:p>
        </w:tc>
        <w:tc>
          <w:tcPr>
            <w:tcW w:w="1423" w:type="dxa"/>
            <w:tcBorders>
              <w:top w:val="single" w:sz="6" w:space="0" w:color="auto"/>
              <w:left w:val="single" w:sz="6" w:space="0" w:color="auto"/>
              <w:bottom w:val="single" w:sz="6" w:space="0" w:color="auto"/>
              <w:right w:val="single" w:sz="12" w:space="0" w:color="auto"/>
            </w:tcBorders>
            <w:vAlign w:val="center"/>
            <w:hideMark/>
          </w:tcPr>
          <w:p w14:paraId="7671189A" w14:textId="77777777" w:rsidR="000C1E0E" w:rsidRDefault="000C1E0E" w:rsidP="0098752B">
            <w:pPr>
              <w:spacing w:line="240" w:lineRule="auto"/>
              <w:jc w:val="center"/>
              <w:rPr>
                <w:sz w:val="24"/>
                <w:szCs w:val="24"/>
              </w:rPr>
            </w:pPr>
            <w:r>
              <w:rPr>
                <w:sz w:val="24"/>
                <w:szCs w:val="24"/>
              </w:rPr>
              <w:t>55%</w:t>
            </w:r>
          </w:p>
        </w:tc>
      </w:tr>
      <w:tr w:rsidR="000C1E0E" w14:paraId="0B0C40A5" w14:textId="77777777" w:rsidTr="0098752B">
        <w:trPr>
          <w:trHeight w:val="340"/>
          <w:jc w:val="center"/>
        </w:trPr>
        <w:tc>
          <w:tcPr>
            <w:tcW w:w="1355" w:type="dxa"/>
            <w:tcBorders>
              <w:top w:val="single" w:sz="6" w:space="0" w:color="auto"/>
              <w:left w:val="single" w:sz="12" w:space="0" w:color="auto"/>
              <w:bottom w:val="single" w:sz="6" w:space="0" w:color="auto"/>
              <w:right w:val="single" w:sz="6" w:space="0" w:color="auto"/>
            </w:tcBorders>
            <w:vAlign w:val="center"/>
            <w:hideMark/>
          </w:tcPr>
          <w:p w14:paraId="339BEE2A" w14:textId="77777777" w:rsidR="000C1E0E" w:rsidRDefault="000C1E0E" w:rsidP="0098752B">
            <w:pPr>
              <w:spacing w:line="240" w:lineRule="auto"/>
              <w:jc w:val="center"/>
              <w:rPr>
                <w:sz w:val="24"/>
                <w:szCs w:val="24"/>
              </w:rPr>
            </w:pPr>
            <w:r>
              <w:rPr>
                <w:sz w:val="24"/>
                <w:szCs w:val="24"/>
              </w:rPr>
              <w:t>B-</w:t>
            </w:r>
          </w:p>
        </w:tc>
        <w:tc>
          <w:tcPr>
            <w:tcW w:w="1346" w:type="dxa"/>
            <w:tcBorders>
              <w:top w:val="single" w:sz="6" w:space="0" w:color="auto"/>
              <w:left w:val="single" w:sz="6" w:space="0" w:color="auto"/>
              <w:bottom w:val="single" w:sz="6" w:space="0" w:color="auto"/>
              <w:right w:val="single" w:sz="6" w:space="0" w:color="auto"/>
            </w:tcBorders>
            <w:vAlign w:val="center"/>
            <w:hideMark/>
          </w:tcPr>
          <w:p w14:paraId="000C9242" w14:textId="77777777" w:rsidR="000C1E0E" w:rsidRDefault="000C1E0E" w:rsidP="0098752B">
            <w:pPr>
              <w:spacing w:line="240" w:lineRule="auto"/>
              <w:jc w:val="center"/>
              <w:rPr>
                <w:sz w:val="24"/>
                <w:szCs w:val="24"/>
              </w:rPr>
            </w:pPr>
            <w:r>
              <w:rPr>
                <w:sz w:val="24"/>
                <w:szCs w:val="24"/>
              </w:rPr>
              <w:t>B3</w:t>
            </w:r>
          </w:p>
        </w:tc>
        <w:tc>
          <w:tcPr>
            <w:tcW w:w="1326" w:type="dxa"/>
            <w:tcBorders>
              <w:top w:val="single" w:sz="6" w:space="0" w:color="auto"/>
              <w:left w:val="single" w:sz="6" w:space="0" w:color="auto"/>
              <w:bottom w:val="single" w:sz="6" w:space="0" w:color="auto"/>
              <w:right w:val="single" w:sz="6" w:space="0" w:color="auto"/>
            </w:tcBorders>
            <w:vAlign w:val="center"/>
            <w:hideMark/>
          </w:tcPr>
          <w:p w14:paraId="7D53AF03" w14:textId="77777777" w:rsidR="000C1E0E" w:rsidRDefault="000C1E0E" w:rsidP="0098752B">
            <w:pPr>
              <w:spacing w:line="240" w:lineRule="auto"/>
              <w:jc w:val="center"/>
              <w:rPr>
                <w:sz w:val="24"/>
                <w:szCs w:val="24"/>
              </w:rPr>
            </w:pPr>
            <w:r>
              <w:rPr>
                <w:sz w:val="24"/>
                <w:szCs w:val="24"/>
              </w:rPr>
              <w:t>B-</w:t>
            </w:r>
          </w:p>
        </w:tc>
        <w:tc>
          <w:tcPr>
            <w:tcW w:w="1268" w:type="dxa"/>
            <w:tcBorders>
              <w:top w:val="single" w:sz="6" w:space="0" w:color="auto"/>
              <w:left w:val="single" w:sz="6" w:space="0" w:color="auto"/>
              <w:bottom w:val="single" w:sz="6" w:space="0" w:color="auto"/>
              <w:right w:val="single" w:sz="6" w:space="0" w:color="auto"/>
            </w:tcBorders>
            <w:vAlign w:val="center"/>
            <w:hideMark/>
          </w:tcPr>
          <w:p w14:paraId="0E6DF969" w14:textId="77777777" w:rsidR="000C1E0E" w:rsidRDefault="000C1E0E" w:rsidP="0098752B">
            <w:pPr>
              <w:spacing w:line="240" w:lineRule="auto"/>
              <w:jc w:val="center"/>
              <w:rPr>
                <w:sz w:val="24"/>
                <w:szCs w:val="24"/>
              </w:rPr>
            </w:pPr>
            <w:r>
              <w:rPr>
                <w:sz w:val="24"/>
                <w:szCs w:val="24"/>
              </w:rPr>
              <w:t>ruBB</w:t>
            </w:r>
          </w:p>
        </w:tc>
        <w:tc>
          <w:tcPr>
            <w:tcW w:w="1268" w:type="dxa"/>
            <w:tcBorders>
              <w:top w:val="single" w:sz="6" w:space="0" w:color="auto"/>
              <w:left w:val="single" w:sz="6" w:space="0" w:color="auto"/>
              <w:bottom w:val="single" w:sz="6" w:space="0" w:color="auto"/>
              <w:right w:val="single" w:sz="6" w:space="0" w:color="auto"/>
            </w:tcBorders>
            <w:vAlign w:val="center"/>
            <w:hideMark/>
          </w:tcPr>
          <w:p w14:paraId="2C05E0E0" w14:textId="77777777" w:rsidR="000C1E0E" w:rsidRDefault="000C1E0E" w:rsidP="0098752B">
            <w:pPr>
              <w:spacing w:line="240" w:lineRule="auto"/>
              <w:jc w:val="center"/>
              <w:rPr>
                <w:sz w:val="24"/>
                <w:szCs w:val="24"/>
              </w:rPr>
            </w:pPr>
            <w:r>
              <w:rPr>
                <w:sz w:val="24"/>
                <w:szCs w:val="24"/>
              </w:rPr>
              <w:t>BB(RU), BB-(RU)</w:t>
            </w:r>
          </w:p>
        </w:tc>
        <w:tc>
          <w:tcPr>
            <w:tcW w:w="1449" w:type="dxa"/>
            <w:tcBorders>
              <w:top w:val="single" w:sz="6" w:space="0" w:color="auto"/>
              <w:left w:val="single" w:sz="6" w:space="0" w:color="auto"/>
              <w:bottom w:val="single" w:sz="6" w:space="0" w:color="auto"/>
              <w:right w:val="single" w:sz="6" w:space="0" w:color="auto"/>
            </w:tcBorders>
            <w:vAlign w:val="center"/>
            <w:hideMark/>
          </w:tcPr>
          <w:p w14:paraId="7890BFE6" w14:textId="77777777" w:rsidR="000C1E0E" w:rsidRDefault="000C1E0E" w:rsidP="0098752B">
            <w:pPr>
              <w:spacing w:line="240" w:lineRule="auto"/>
              <w:jc w:val="center"/>
              <w:rPr>
                <w:sz w:val="24"/>
                <w:szCs w:val="24"/>
              </w:rPr>
            </w:pPr>
            <w:r>
              <w:rPr>
                <w:sz w:val="24"/>
                <w:szCs w:val="24"/>
              </w:rPr>
              <w:t>11,74%</w:t>
            </w:r>
          </w:p>
        </w:tc>
        <w:tc>
          <w:tcPr>
            <w:tcW w:w="1423" w:type="dxa"/>
            <w:tcBorders>
              <w:top w:val="single" w:sz="6" w:space="0" w:color="auto"/>
              <w:left w:val="single" w:sz="6" w:space="0" w:color="auto"/>
              <w:bottom w:val="single" w:sz="6" w:space="0" w:color="auto"/>
              <w:right w:val="single" w:sz="12" w:space="0" w:color="auto"/>
            </w:tcBorders>
            <w:vAlign w:val="center"/>
            <w:hideMark/>
          </w:tcPr>
          <w:p w14:paraId="641EC22E" w14:textId="77777777" w:rsidR="000C1E0E" w:rsidRDefault="000C1E0E" w:rsidP="0098752B">
            <w:pPr>
              <w:spacing w:line="240" w:lineRule="auto"/>
              <w:jc w:val="center"/>
              <w:rPr>
                <w:sz w:val="24"/>
                <w:szCs w:val="24"/>
              </w:rPr>
            </w:pPr>
            <w:r>
              <w:rPr>
                <w:sz w:val="24"/>
                <w:szCs w:val="24"/>
              </w:rPr>
              <w:t>55%</w:t>
            </w:r>
          </w:p>
        </w:tc>
      </w:tr>
      <w:tr w:rsidR="000C1E0E" w14:paraId="4294F0F7" w14:textId="77777777" w:rsidTr="0098752B">
        <w:trPr>
          <w:trHeight w:val="340"/>
          <w:jc w:val="center"/>
        </w:trPr>
        <w:tc>
          <w:tcPr>
            <w:tcW w:w="1355" w:type="dxa"/>
            <w:tcBorders>
              <w:top w:val="single" w:sz="6" w:space="0" w:color="auto"/>
              <w:left w:val="single" w:sz="12" w:space="0" w:color="auto"/>
              <w:bottom w:val="single" w:sz="6" w:space="0" w:color="auto"/>
              <w:right w:val="single" w:sz="6" w:space="0" w:color="auto"/>
            </w:tcBorders>
            <w:vAlign w:val="center"/>
            <w:hideMark/>
          </w:tcPr>
          <w:p w14:paraId="7018BCED" w14:textId="77777777" w:rsidR="000C1E0E" w:rsidRDefault="000C1E0E" w:rsidP="0098752B">
            <w:pPr>
              <w:spacing w:line="240" w:lineRule="auto"/>
              <w:jc w:val="center"/>
              <w:rPr>
                <w:sz w:val="24"/>
                <w:szCs w:val="24"/>
              </w:rPr>
            </w:pPr>
            <w:r>
              <w:rPr>
                <w:sz w:val="24"/>
                <w:szCs w:val="24"/>
              </w:rPr>
              <w:t>CCC</w:t>
            </w:r>
          </w:p>
        </w:tc>
        <w:tc>
          <w:tcPr>
            <w:tcW w:w="1346" w:type="dxa"/>
            <w:tcBorders>
              <w:top w:val="single" w:sz="6" w:space="0" w:color="auto"/>
              <w:left w:val="single" w:sz="6" w:space="0" w:color="auto"/>
              <w:bottom w:val="single" w:sz="6" w:space="0" w:color="auto"/>
              <w:right w:val="single" w:sz="6" w:space="0" w:color="auto"/>
            </w:tcBorders>
            <w:vAlign w:val="center"/>
            <w:hideMark/>
          </w:tcPr>
          <w:p w14:paraId="0014B8C7" w14:textId="77777777" w:rsidR="000C1E0E" w:rsidRDefault="000C1E0E" w:rsidP="0098752B">
            <w:pPr>
              <w:spacing w:line="240" w:lineRule="auto"/>
              <w:jc w:val="center"/>
              <w:rPr>
                <w:sz w:val="24"/>
                <w:szCs w:val="24"/>
              </w:rPr>
            </w:pPr>
            <w:r>
              <w:rPr>
                <w:sz w:val="24"/>
                <w:szCs w:val="24"/>
              </w:rPr>
              <w:t>Caa</w:t>
            </w:r>
          </w:p>
        </w:tc>
        <w:tc>
          <w:tcPr>
            <w:tcW w:w="1326" w:type="dxa"/>
            <w:tcBorders>
              <w:top w:val="single" w:sz="6" w:space="0" w:color="auto"/>
              <w:left w:val="single" w:sz="6" w:space="0" w:color="auto"/>
              <w:bottom w:val="single" w:sz="6" w:space="0" w:color="auto"/>
              <w:right w:val="single" w:sz="6" w:space="0" w:color="auto"/>
            </w:tcBorders>
            <w:vAlign w:val="center"/>
            <w:hideMark/>
          </w:tcPr>
          <w:p w14:paraId="36015454" w14:textId="77777777" w:rsidR="000C1E0E" w:rsidRDefault="000C1E0E" w:rsidP="0098752B">
            <w:pPr>
              <w:spacing w:line="240" w:lineRule="auto"/>
              <w:jc w:val="center"/>
              <w:rPr>
                <w:sz w:val="24"/>
                <w:szCs w:val="24"/>
              </w:rPr>
            </w:pPr>
            <w:r>
              <w:rPr>
                <w:sz w:val="24"/>
                <w:szCs w:val="24"/>
              </w:rPr>
              <w:t>CCC</w:t>
            </w:r>
          </w:p>
        </w:tc>
        <w:tc>
          <w:tcPr>
            <w:tcW w:w="1268" w:type="dxa"/>
            <w:tcBorders>
              <w:top w:val="single" w:sz="6" w:space="0" w:color="auto"/>
              <w:left w:val="single" w:sz="6" w:space="0" w:color="auto"/>
              <w:bottom w:val="single" w:sz="6" w:space="0" w:color="auto"/>
              <w:right w:val="single" w:sz="6" w:space="0" w:color="auto"/>
            </w:tcBorders>
            <w:vAlign w:val="center"/>
            <w:hideMark/>
          </w:tcPr>
          <w:p w14:paraId="6C0CF088" w14:textId="77777777" w:rsidR="000C1E0E" w:rsidRDefault="000C1E0E" w:rsidP="0098752B">
            <w:pPr>
              <w:spacing w:line="240" w:lineRule="auto"/>
              <w:jc w:val="center"/>
              <w:rPr>
                <w:sz w:val="24"/>
                <w:szCs w:val="24"/>
              </w:rPr>
            </w:pPr>
            <w:r>
              <w:rPr>
                <w:sz w:val="24"/>
                <w:szCs w:val="24"/>
              </w:rPr>
              <w:t>ruCCC</w:t>
            </w:r>
          </w:p>
        </w:tc>
        <w:tc>
          <w:tcPr>
            <w:tcW w:w="1268" w:type="dxa"/>
            <w:tcBorders>
              <w:top w:val="single" w:sz="6" w:space="0" w:color="auto"/>
              <w:left w:val="single" w:sz="6" w:space="0" w:color="auto"/>
              <w:bottom w:val="single" w:sz="6" w:space="0" w:color="auto"/>
              <w:right w:val="single" w:sz="6" w:space="0" w:color="auto"/>
            </w:tcBorders>
            <w:vAlign w:val="center"/>
            <w:hideMark/>
          </w:tcPr>
          <w:p w14:paraId="47748CF6" w14:textId="77777777" w:rsidR="000C1E0E" w:rsidRDefault="000C1E0E" w:rsidP="0098752B">
            <w:pPr>
              <w:spacing w:line="240" w:lineRule="auto"/>
              <w:jc w:val="center"/>
              <w:rPr>
                <w:sz w:val="24"/>
                <w:szCs w:val="24"/>
              </w:rPr>
            </w:pPr>
            <w:r>
              <w:rPr>
                <w:sz w:val="24"/>
                <w:szCs w:val="24"/>
              </w:rPr>
              <w:t>CCC(RU)</w:t>
            </w:r>
          </w:p>
        </w:tc>
        <w:tc>
          <w:tcPr>
            <w:tcW w:w="1449" w:type="dxa"/>
            <w:tcBorders>
              <w:top w:val="single" w:sz="6" w:space="0" w:color="auto"/>
              <w:left w:val="single" w:sz="6" w:space="0" w:color="auto"/>
              <w:bottom w:val="single" w:sz="6" w:space="0" w:color="auto"/>
              <w:right w:val="single" w:sz="6" w:space="0" w:color="auto"/>
            </w:tcBorders>
            <w:vAlign w:val="center"/>
            <w:hideMark/>
          </w:tcPr>
          <w:p w14:paraId="5D50A76F" w14:textId="77777777" w:rsidR="000C1E0E" w:rsidRDefault="000C1E0E" w:rsidP="0098752B">
            <w:pPr>
              <w:spacing w:line="240" w:lineRule="auto"/>
              <w:jc w:val="center"/>
              <w:rPr>
                <w:sz w:val="24"/>
                <w:szCs w:val="24"/>
              </w:rPr>
            </w:pPr>
            <w:r>
              <w:rPr>
                <w:sz w:val="24"/>
                <w:szCs w:val="24"/>
              </w:rPr>
              <w:t>24,89%</w:t>
            </w:r>
          </w:p>
        </w:tc>
        <w:tc>
          <w:tcPr>
            <w:tcW w:w="1423" w:type="dxa"/>
            <w:tcBorders>
              <w:top w:val="single" w:sz="6" w:space="0" w:color="auto"/>
              <w:left w:val="single" w:sz="6" w:space="0" w:color="auto"/>
              <w:bottom w:val="single" w:sz="6" w:space="0" w:color="auto"/>
              <w:right w:val="single" w:sz="12" w:space="0" w:color="auto"/>
            </w:tcBorders>
            <w:vAlign w:val="center"/>
            <w:hideMark/>
          </w:tcPr>
          <w:p w14:paraId="7A344701" w14:textId="77777777" w:rsidR="000C1E0E" w:rsidRDefault="000C1E0E" w:rsidP="0098752B">
            <w:pPr>
              <w:spacing w:line="240" w:lineRule="auto"/>
              <w:jc w:val="center"/>
              <w:rPr>
                <w:sz w:val="24"/>
                <w:szCs w:val="24"/>
              </w:rPr>
            </w:pPr>
            <w:r>
              <w:rPr>
                <w:sz w:val="24"/>
                <w:szCs w:val="24"/>
              </w:rPr>
              <w:t>55%</w:t>
            </w:r>
          </w:p>
        </w:tc>
      </w:tr>
      <w:tr w:rsidR="000C1E0E" w14:paraId="0C1A8729" w14:textId="77777777" w:rsidTr="0098752B">
        <w:trPr>
          <w:trHeight w:val="340"/>
          <w:jc w:val="center"/>
        </w:trPr>
        <w:tc>
          <w:tcPr>
            <w:tcW w:w="1355" w:type="dxa"/>
            <w:tcBorders>
              <w:top w:val="single" w:sz="6" w:space="0" w:color="auto"/>
              <w:left w:val="single" w:sz="12" w:space="0" w:color="auto"/>
              <w:bottom w:val="single" w:sz="6" w:space="0" w:color="auto"/>
              <w:right w:val="single" w:sz="6" w:space="0" w:color="auto"/>
            </w:tcBorders>
            <w:vAlign w:val="center"/>
            <w:hideMark/>
          </w:tcPr>
          <w:p w14:paraId="66ED1A75" w14:textId="77777777" w:rsidR="000C1E0E" w:rsidRDefault="000C1E0E" w:rsidP="0098752B">
            <w:pPr>
              <w:spacing w:line="240" w:lineRule="auto"/>
              <w:jc w:val="center"/>
              <w:rPr>
                <w:sz w:val="24"/>
                <w:szCs w:val="24"/>
              </w:rPr>
            </w:pPr>
            <w:r>
              <w:rPr>
                <w:sz w:val="24"/>
                <w:szCs w:val="24"/>
              </w:rPr>
              <w:t>CC</w:t>
            </w:r>
          </w:p>
        </w:tc>
        <w:tc>
          <w:tcPr>
            <w:tcW w:w="1346" w:type="dxa"/>
            <w:tcBorders>
              <w:top w:val="single" w:sz="6" w:space="0" w:color="auto"/>
              <w:left w:val="single" w:sz="6" w:space="0" w:color="auto"/>
              <w:bottom w:val="single" w:sz="6" w:space="0" w:color="auto"/>
              <w:right w:val="single" w:sz="6" w:space="0" w:color="auto"/>
            </w:tcBorders>
            <w:vAlign w:val="center"/>
            <w:hideMark/>
          </w:tcPr>
          <w:p w14:paraId="311CD578" w14:textId="77777777" w:rsidR="000C1E0E" w:rsidRDefault="000C1E0E" w:rsidP="0098752B">
            <w:pPr>
              <w:spacing w:line="240" w:lineRule="auto"/>
              <w:jc w:val="center"/>
              <w:rPr>
                <w:sz w:val="24"/>
                <w:szCs w:val="24"/>
              </w:rPr>
            </w:pPr>
            <w:r>
              <w:rPr>
                <w:sz w:val="24"/>
                <w:szCs w:val="24"/>
              </w:rPr>
              <w:t>Ca</w:t>
            </w:r>
          </w:p>
        </w:tc>
        <w:tc>
          <w:tcPr>
            <w:tcW w:w="1326" w:type="dxa"/>
            <w:tcBorders>
              <w:top w:val="single" w:sz="6" w:space="0" w:color="auto"/>
              <w:left w:val="single" w:sz="6" w:space="0" w:color="auto"/>
              <w:bottom w:val="single" w:sz="6" w:space="0" w:color="auto"/>
              <w:right w:val="single" w:sz="6" w:space="0" w:color="auto"/>
            </w:tcBorders>
            <w:vAlign w:val="center"/>
            <w:hideMark/>
          </w:tcPr>
          <w:p w14:paraId="3A3623B4" w14:textId="77777777" w:rsidR="000C1E0E" w:rsidRDefault="000C1E0E" w:rsidP="0098752B">
            <w:pPr>
              <w:spacing w:line="240" w:lineRule="auto"/>
              <w:jc w:val="center"/>
              <w:rPr>
                <w:sz w:val="24"/>
                <w:szCs w:val="24"/>
              </w:rPr>
            </w:pPr>
            <w:r>
              <w:rPr>
                <w:sz w:val="24"/>
                <w:szCs w:val="24"/>
              </w:rPr>
              <w:t>CC</w:t>
            </w:r>
          </w:p>
        </w:tc>
        <w:tc>
          <w:tcPr>
            <w:tcW w:w="1268" w:type="dxa"/>
            <w:tcBorders>
              <w:top w:val="single" w:sz="6" w:space="0" w:color="auto"/>
              <w:left w:val="single" w:sz="6" w:space="0" w:color="auto"/>
              <w:bottom w:val="single" w:sz="6" w:space="0" w:color="auto"/>
              <w:right w:val="single" w:sz="6" w:space="0" w:color="auto"/>
            </w:tcBorders>
            <w:vAlign w:val="center"/>
            <w:hideMark/>
          </w:tcPr>
          <w:p w14:paraId="4A047254" w14:textId="77777777" w:rsidR="000C1E0E" w:rsidRDefault="000C1E0E" w:rsidP="0098752B">
            <w:pPr>
              <w:spacing w:line="240" w:lineRule="auto"/>
              <w:jc w:val="center"/>
              <w:rPr>
                <w:sz w:val="24"/>
                <w:szCs w:val="24"/>
              </w:rPr>
            </w:pPr>
            <w:r>
              <w:rPr>
                <w:sz w:val="24"/>
                <w:szCs w:val="24"/>
              </w:rPr>
              <w:t>ruCC</w:t>
            </w:r>
          </w:p>
        </w:tc>
        <w:tc>
          <w:tcPr>
            <w:tcW w:w="1268" w:type="dxa"/>
            <w:tcBorders>
              <w:top w:val="single" w:sz="6" w:space="0" w:color="auto"/>
              <w:left w:val="single" w:sz="6" w:space="0" w:color="auto"/>
              <w:bottom w:val="single" w:sz="6" w:space="0" w:color="auto"/>
              <w:right w:val="single" w:sz="6" w:space="0" w:color="auto"/>
            </w:tcBorders>
            <w:vAlign w:val="center"/>
            <w:hideMark/>
          </w:tcPr>
          <w:p w14:paraId="27A2D45D" w14:textId="77777777" w:rsidR="000C1E0E" w:rsidRDefault="000C1E0E" w:rsidP="0098752B">
            <w:pPr>
              <w:spacing w:line="240" w:lineRule="auto"/>
              <w:jc w:val="center"/>
              <w:rPr>
                <w:sz w:val="24"/>
                <w:szCs w:val="24"/>
              </w:rPr>
            </w:pPr>
            <w:r>
              <w:rPr>
                <w:sz w:val="24"/>
                <w:szCs w:val="24"/>
              </w:rPr>
              <w:t>CC(RU)</w:t>
            </w:r>
          </w:p>
        </w:tc>
        <w:tc>
          <w:tcPr>
            <w:tcW w:w="1449" w:type="dxa"/>
            <w:tcBorders>
              <w:top w:val="single" w:sz="6" w:space="0" w:color="auto"/>
              <w:left w:val="single" w:sz="6" w:space="0" w:color="auto"/>
              <w:bottom w:val="single" w:sz="6" w:space="0" w:color="auto"/>
              <w:right w:val="single" w:sz="6" w:space="0" w:color="auto"/>
            </w:tcBorders>
            <w:vAlign w:val="center"/>
            <w:hideMark/>
          </w:tcPr>
          <w:p w14:paraId="2CB9B114" w14:textId="77777777" w:rsidR="000C1E0E" w:rsidRDefault="000C1E0E" w:rsidP="0098752B">
            <w:pPr>
              <w:spacing w:line="240" w:lineRule="auto"/>
              <w:jc w:val="center"/>
              <w:rPr>
                <w:sz w:val="24"/>
                <w:szCs w:val="24"/>
              </w:rPr>
            </w:pPr>
            <w:r>
              <w:rPr>
                <w:sz w:val="24"/>
                <w:szCs w:val="24"/>
              </w:rPr>
              <w:t>31,97%</w:t>
            </w:r>
          </w:p>
        </w:tc>
        <w:tc>
          <w:tcPr>
            <w:tcW w:w="1423" w:type="dxa"/>
            <w:tcBorders>
              <w:top w:val="single" w:sz="6" w:space="0" w:color="auto"/>
              <w:left w:val="single" w:sz="6" w:space="0" w:color="auto"/>
              <w:bottom w:val="single" w:sz="6" w:space="0" w:color="auto"/>
              <w:right w:val="single" w:sz="12" w:space="0" w:color="auto"/>
            </w:tcBorders>
            <w:vAlign w:val="center"/>
            <w:hideMark/>
          </w:tcPr>
          <w:p w14:paraId="6ACB1611" w14:textId="77777777" w:rsidR="000C1E0E" w:rsidRDefault="000C1E0E" w:rsidP="0098752B">
            <w:pPr>
              <w:spacing w:line="240" w:lineRule="auto"/>
              <w:jc w:val="center"/>
              <w:rPr>
                <w:sz w:val="24"/>
                <w:szCs w:val="24"/>
              </w:rPr>
            </w:pPr>
            <w:r>
              <w:rPr>
                <w:sz w:val="24"/>
                <w:szCs w:val="24"/>
              </w:rPr>
              <w:t>55%</w:t>
            </w:r>
          </w:p>
        </w:tc>
      </w:tr>
      <w:tr w:rsidR="000C1E0E" w14:paraId="329C0A33" w14:textId="77777777" w:rsidTr="0098752B">
        <w:trPr>
          <w:trHeight w:val="340"/>
          <w:jc w:val="center"/>
        </w:trPr>
        <w:tc>
          <w:tcPr>
            <w:tcW w:w="1355" w:type="dxa"/>
            <w:tcBorders>
              <w:top w:val="single" w:sz="6" w:space="0" w:color="auto"/>
              <w:left w:val="single" w:sz="12" w:space="0" w:color="auto"/>
              <w:bottom w:val="single" w:sz="6" w:space="0" w:color="auto"/>
              <w:right w:val="single" w:sz="6" w:space="0" w:color="auto"/>
            </w:tcBorders>
            <w:vAlign w:val="center"/>
            <w:hideMark/>
          </w:tcPr>
          <w:p w14:paraId="70BFE278" w14:textId="77777777" w:rsidR="000C1E0E" w:rsidRDefault="000C1E0E" w:rsidP="0098752B">
            <w:pPr>
              <w:spacing w:line="240" w:lineRule="auto"/>
              <w:jc w:val="center"/>
              <w:rPr>
                <w:sz w:val="24"/>
                <w:szCs w:val="24"/>
              </w:rPr>
            </w:pPr>
            <w:r>
              <w:rPr>
                <w:sz w:val="24"/>
                <w:szCs w:val="24"/>
              </w:rPr>
              <w:t>C</w:t>
            </w:r>
          </w:p>
        </w:tc>
        <w:tc>
          <w:tcPr>
            <w:tcW w:w="1346" w:type="dxa"/>
            <w:tcBorders>
              <w:top w:val="single" w:sz="6" w:space="0" w:color="auto"/>
              <w:left w:val="single" w:sz="6" w:space="0" w:color="auto"/>
              <w:bottom w:val="single" w:sz="6" w:space="0" w:color="auto"/>
              <w:right w:val="single" w:sz="6" w:space="0" w:color="auto"/>
            </w:tcBorders>
            <w:vAlign w:val="center"/>
            <w:hideMark/>
          </w:tcPr>
          <w:p w14:paraId="0C6006BD" w14:textId="77777777" w:rsidR="000C1E0E" w:rsidRDefault="000C1E0E" w:rsidP="0098752B">
            <w:pPr>
              <w:spacing w:line="240" w:lineRule="auto"/>
              <w:jc w:val="center"/>
              <w:rPr>
                <w:sz w:val="24"/>
                <w:szCs w:val="24"/>
              </w:rPr>
            </w:pPr>
            <w:r>
              <w:rPr>
                <w:sz w:val="24"/>
                <w:szCs w:val="24"/>
              </w:rPr>
              <w:t>C</w:t>
            </w:r>
          </w:p>
        </w:tc>
        <w:tc>
          <w:tcPr>
            <w:tcW w:w="1326" w:type="dxa"/>
            <w:tcBorders>
              <w:top w:val="single" w:sz="6" w:space="0" w:color="auto"/>
              <w:left w:val="single" w:sz="6" w:space="0" w:color="auto"/>
              <w:bottom w:val="single" w:sz="6" w:space="0" w:color="auto"/>
              <w:right w:val="single" w:sz="6" w:space="0" w:color="auto"/>
            </w:tcBorders>
            <w:vAlign w:val="center"/>
            <w:hideMark/>
          </w:tcPr>
          <w:p w14:paraId="5AEF3EC6" w14:textId="77777777" w:rsidR="000C1E0E" w:rsidRDefault="000C1E0E" w:rsidP="0098752B">
            <w:pPr>
              <w:spacing w:line="240" w:lineRule="auto"/>
              <w:jc w:val="center"/>
              <w:rPr>
                <w:sz w:val="24"/>
                <w:szCs w:val="24"/>
              </w:rPr>
            </w:pPr>
            <w:r>
              <w:rPr>
                <w:sz w:val="24"/>
                <w:szCs w:val="24"/>
              </w:rPr>
              <w:t>C</w:t>
            </w:r>
          </w:p>
        </w:tc>
        <w:tc>
          <w:tcPr>
            <w:tcW w:w="1268" w:type="dxa"/>
            <w:tcBorders>
              <w:top w:val="single" w:sz="6" w:space="0" w:color="auto"/>
              <w:left w:val="single" w:sz="6" w:space="0" w:color="auto"/>
              <w:bottom w:val="single" w:sz="6" w:space="0" w:color="auto"/>
              <w:right w:val="single" w:sz="6" w:space="0" w:color="auto"/>
            </w:tcBorders>
            <w:vAlign w:val="center"/>
            <w:hideMark/>
          </w:tcPr>
          <w:p w14:paraId="27482206" w14:textId="77777777" w:rsidR="000C1E0E" w:rsidRDefault="000C1E0E" w:rsidP="0098752B">
            <w:pPr>
              <w:spacing w:line="240" w:lineRule="auto"/>
              <w:jc w:val="center"/>
              <w:rPr>
                <w:sz w:val="24"/>
                <w:szCs w:val="24"/>
              </w:rPr>
            </w:pPr>
            <w:r>
              <w:rPr>
                <w:sz w:val="24"/>
                <w:szCs w:val="24"/>
              </w:rPr>
              <w:t>ruC</w:t>
            </w:r>
          </w:p>
        </w:tc>
        <w:tc>
          <w:tcPr>
            <w:tcW w:w="1268" w:type="dxa"/>
            <w:tcBorders>
              <w:top w:val="single" w:sz="6" w:space="0" w:color="auto"/>
              <w:left w:val="single" w:sz="6" w:space="0" w:color="auto"/>
              <w:bottom w:val="single" w:sz="6" w:space="0" w:color="auto"/>
              <w:right w:val="single" w:sz="6" w:space="0" w:color="auto"/>
            </w:tcBorders>
            <w:vAlign w:val="center"/>
            <w:hideMark/>
          </w:tcPr>
          <w:p w14:paraId="154E0FD5" w14:textId="77777777" w:rsidR="000C1E0E" w:rsidRDefault="000C1E0E" w:rsidP="0098752B">
            <w:pPr>
              <w:spacing w:line="240" w:lineRule="auto"/>
              <w:jc w:val="center"/>
              <w:rPr>
                <w:sz w:val="24"/>
                <w:szCs w:val="24"/>
              </w:rPr>
            </w:pPr>
            <w:r>
              <w:rPr>
                <w:sz w:val="24"/>
                <w:szCs w:val="24"/>
              </w:rPr>
              <w:t>C(RU)</w:t>
            </w:r>
          </w:p>
        </w:tc>
        <w:tc>
          <w:tcPr>
            <w:tcW w:w="1449" w:type="dxa"/>
            <w:tcBorders>
              <w:top w:val="single" w:sz="6" w:space="0" w:color="auto"/>
              <w:left w:val="single" w:sz="6" w:space="0" w:color="auto"/>
              <w:bottom w:val="single" w:sz="6" w:space="0" w:color="auto"/>
              <w:right w:val="single" w:sz="4" w:space="0" w:color="auto"/>
            </w:tcBorders>
            <w:vAlign w:val="center"/>
            <w:hideMark/>
          </w:tcPr>
          <w:p w14:paraId="6EC21513" w14:textId="77777777" w:rsidR="000C1E0E" w:rsidRDefault="000C1E0E" w:rsidP="0098752B">
            <w:pPr>
              <w:spacing w:line="240" w:lineRule="auto"/>
              <w:jc w:val="center"/>
              <w:rPr>
                <w:sz w:val="24"/>
                <w:szCs w:val="24"/>
              </w:rPr>
            </w:pPr>
            <w:r>
              <w:rPr>
                <w:sz w:val="24"/>
                <w:szCs w:val="24"/>
              </w:rPr>
              <w:t>41,06%</w:t>
            </w:r>
          </w:p>
        </w:tc>
        <w:tc>
          <w:tcPr>
            <w:tcW w:w="1423" w:type="dxa"/>
            <w:tcBorders>
              <w:top w:val="single" w:sz="6" w:space="0" w:color="auto"/>
              <w:left w:val="single" w:sz="4" w:space="0" w:color="auto"/>
              <w:bottom w:val="single" w:sz="6" w:space="0" w:color="auto"/>
              <w:right w:val="single" w:sz="12" w:space="0" w:color="auto"/>
            </w:tcBorders>
            <w:vAlign w:val="center"/>
            <w:hideMark/>
          </w:tcPr>
          <w:p w14:paraId="26AF6AAC" w14:textId="77777777" w:rsidR="000C1E0E" w:rsidRDefault="000C1E0E" w:rsidP="0098752B">
            <w:pPr>
              <w:spacing w:line="240" w:lineRule="auto"/>
              <w:jc w:val="center"/>
              <w:rPr>
                <w:sz w:val="24"/>
                <w:szCs w:val="24"/>
              </w:rPr>
            </w:pPr>
            <w:r>
              <w:rPr>
                <w:sz w:val="24"/>
                <w:szCs w:val="24"/>
              </w:rPr>
              <w:t>100%</w:t>
            </w:r>
          </w:p>
        </w:tc>
      </w:tr>
      <w:tr w:rsidR="000C1E0E" w14:paraId="563457B9" w14:textId="77777777" w:rsidTr="0098752B">
        <w:trPr>
          <w:trHeight w:val="340"/>
          <w:jc w:val="center"/>
        </w:trPr>
        <w:tc>
          <w:tcPr>
            <w:tcW w:w="1355" w:type="dxa"/>
            <w:tcBorders>
              <w:top w:val="single" w:sz="6" w:space="0" w:color="auto"/>
              <w:left w:val="single" w:sz="12" w:space="0" w:color="auto"/>
              <w:bottom w:val="single" w:sz="12" w:space="0" w:color="auto"/>
              <w:right w:val="single" w:sz="6" w:space="0" w:color="auto"/>
            </w:tcBorders>
            <w:vAlign w:val="center"/>
            <w:hideMark/>
          </w:tcPr>
          <w:p w14:paraId="27400578" w14:textId="77777777" w:rsidR="000C1E0E" w:rsidRDefault="000C1E0E" w:rsidP="0098752B">
            <w:pPr>
              <w:spacing w:line="240" w:lineRule="auto"/>
              <w:jc w:val="center"/>
              <w:rPr>
                <w:sz w:val="24"/>
                <w:szCs w:val="24"/>
              </w:rPr>
            </w:pPr>
            <w:r>
              <w:rPr>
                <w:sz w:val="24"/>
                <w:szCs w:val="24"/>
              </w:rPr>
              <w:t>D</w:t>
            </w:r>
          </w:p>
        </w:tc>
        <w:tc>
          <w:tcPr>
            <w:tcW w:w="1346" w:type="dxa"/>
            <w:tcBorders>
              <w:top w:val="single" w:sz="6" w:space="0" w:color="auto"/>
              <w:left w:val="single" w:sz="6" w:space="0" w:color="auto"/>
              <w:bottom w:val="single" w:sz="12" w:space="0" w:color="auto"/>
              <w:right w:val="single" w:sz="6" w:space="0" w:color="auto"/>
            </w:tcBorders>
            <w:vAlign w:val="center"/>
            <w:hideMark/>
          </w:tcPr>
          <w:p w14:paraId="5E1E963F" w14:textId="77777777" w:rsidR="000C1E0E" w:rsidRDefault="000C1E0E" w:rsidP="0098752B">
            <w:pPr>
              <w:spacing w:line="240" w:lineRule="auto"/>
              <w:jc w:val="center"/>
              <w:rPr>
                <w:sz w:val="24"/>
                <w:szCs w:val="24"/>
              </w:rPr>
            </w:pPr>
            <w:r>
              <w:rPr>
                <w:sz w:val="24"/>
                <w:szCs w:val="24"/>
              </w:rPr>
              <w:t>D</w:t>
            </w:r>
          </w:p>
        </w:tc>
        <w:tc>
          <w:tcPr>
            <w:tcW w:w="1326" w:type="dxa"/>
            <w:tcBorders>
              <w:top w:val="single" w:sz="6" w:space="0" w:color="auto"/>
              <w:left w:val="single" w:sz="6" w:space="0" w:color="auto"/>
              <w:bottom w:val="single" w:sz="12" w:space="0" w:color="auto"/>
              <w:right w:val="single" w:sz="6" w:space="0" w:color="auto"/>
            </w:tcBorders>
            <w:vAlign w:val="center"/>
            <w:hideMark/>
          </w:tcPr>
          <w:p w14:paraId="5676DDEE" w14:textId="77777777" w:rsidR="000C1E0E" w:rsidRDefault="000C1E0E" w:rsidP="0098752B">
            <w:pPr>
              <w:spacing w:line="240" w:lineRule="auto"/>
              <w:jc w:val="center"/>
              <w:rPr>
                <w:sz w:val="24"/>
                <w:szCs w:val="24"/>
              </w:rPr>
            </w:pPr>
            <w:r>
              <w:rPr>
                <w:sz w:val="24"/>
                <w:szCs w:val="24"/>
              </w:rPr>
              <w:t>D</w:t>
            </w:r>
          </w:p>
        </w:tc>
        <w:tc>
          <w:tcPr>
            <w:tcW w:w="1268" w:type="dxa"/>
            <w:tcBorders>
              <w:top w:val="single" w:sz="6" w:space="0" w:color="auto"/>
              <w:left w:val="single" w:sz="6" w:space="0" w:color="auto"/>
              <w:bottom w:val="single" w:sz="12" w:space="0" w:color="auto"/>
              <w:right w:val="single" w:sz="6" w:space="0" w:color="auto"/>
            </w:tcBorders>
            <w:vAlign w:val="center"/>
            <w:hideMark/>
          </w:tcPr>
          <w:p w14:paraId="292CD4A5" w14:textId="77777777" w:rsidR="000C1E0E" w:rsidRDefault="000C1E0E" w:rsidP="0098752B">
            <w:pPr>
              <w:spacing w:line="240" w:lineRule="auto"/>
              <w:jc w:val="center"/>
              <w:rPr>
                <w:sz w:val="24"/>
                <w:szCs w:val="24"/>
              </w:rPr>
            </w:pPr>
            <w:r>
              <w:rPr>
                <w:sz w:val="24"/>
                <w:szCs w:val="24"/>
              </w:rPr>
              <w:t>ruD</w:t>
            </w:r>
          </w:p>
        </w:tc>
        <w:tc>
          <w:tcPr>
            <w:tcW w:w="1268" w:type="dxa"/>
            <w:tcBorders>
              <w:top w:val="single" w:sz="6" w:space="0" w:color="auto"/>
              <w:left w:val="single" w:sz="6" w:space="0" w:color="auto"/>
              <w:bottom w:val="single" w:sz="12" w:space="0" w:color="auto"/>
              <w:right w:val="single" w:sz="6" w:space="0" w:color="auto"/>
            </w:tcBorders>
            <w:vAlign w:val="center"/>
            <w:hideMark/>
          </w:tcPr>
          <w:p w14:paraId="37E687F9" w14:textId="77777777" w:rsidR="000C1E0E" w:rsidRDefault="000C1E0E" w:rsidP="0098752B">
            <w:pPr>
              <w:spacing w:line="240" w:lineRule="auto"/>
              <w:jc w:val="center"/>
              <w:rPr>
                <w:sz w:val="24"/>
                <w:szCs w:val="24"/>
              </w:rPr>
            </w:pPr>
            <w:r>
              <w:rPr>
                <w:sz w:val="24"/>
                <w:szCs w:val="24"/>
              </w:rPr>
              <w:t>D(RU)</w:t>
            </w:r>
          </w:p>
        </w:tc>
        <w:tc>
          <w:tcPr>
            <w:tcW w:w="1449" w:type="dxa"/>
            <w:tcBorders>
              <w:top w:val="single" w:sz="6" w:space="0" w:color="auto"/>
              <w:left w:val="single" w:sz="6" w:space="0" w:color="auto"/>
              <w:bottom w:val="single" w:sz="12" w:space="0" w:color="auto"/>
              <w:right w:val="single" w:sz="4" w:space="0" w:color="auto"/>
            </w:tcBorders>
            <w:vAlign w:val="center"/>
            <w:hideMark/>
          </w:tcPr>
          <w:p w14:paraId="21FB209E" w14:textId="77777777" w:rsidR="000C1E0E" w:rsidRDefault="000C1E0E" w:rsidP="0098752B">
            <w:pPr>
              <w:spacing w:line="240" w:lineRule="auto"/>
              <w:jc w:val="center"/>
              <w:rPr>
                <w:sz w:val="24"/>
                <w:szCs w:val="24"/>
              </w:rPr>
            </w:pPr>
            <w:r>
              <w:rPr>
                <w:sz w:val="24"/>
                <w:szCs w:val="24"/>
              </w:rPr>
              <w:t>100%</w:t>
            </w:r>
          </w:p>
        </w:tc>
        <w:tc>
          <w:tcPr>
            <w:tcW w:w="1423" w:type="dxa"/>
            <w:tcBorders>
              <w:top w:val="single" w:sz="6" w:space="0" w:color="auto"/>
              <w:left w:val="single" w:sz="4" w:space="0" w:color="auto"/>
              <w:bottom w:val="single" w:sz="12" w:space="0" w:color="auto"/>
              <w:right w:val="single" w:sz="12" w:space="0" w:color="auto"/>
            </w:tcBorders>
            <w:vAlign w:val="center"/>
            <w:hideMark/>
          </w:tcPr>
          <w:p w14:paraId="3A1F19FA" w14:textId="77777777" w:rsidR="000C1E0E" w:rsidRDefault="000C1E0E" w:rsidP="0098752B">
            <w:pPr>
              <w:spacing w:line="240" w:lineRule="auto"/>
              <w:jc w:val="center"/>
              <w:rPr>
                <w:sz w:val="24"/>
                <w:szCs w:val="24"/>
              </w:rPr>
            </w:pPr>
            <w:r>
              <w:rPr>
                <w:sz w:val="24"/>
                <w:szCs w:val="24"/>
              </w:rPr>
              <w:t>100%</w:t>
            </w:r>
          </w:p>
        </w:tc>
      </w:tr>
    </w:tbl>
    <w:p w14:paraId="31162E1F" w14:textId="77777777" w:rsidR="000C1E0E" w:rsidRDefault="000C1E0E" w:rsidP="000C1E0E">
      <w:pPr>
        <w:autoSpaceDE w:val="0"/>
        <w:autoSpaceDN w:val="0"/>
        <w:spacing w:line="240" w:lineRule="auto"/>
        <w:rPr>
          <w:sz w:val="24"/>
          <w:szCs w:val="24"/>
        </w:rPr>
      </w:pPr>
    </w:p>
    <w:p w14:paraId="3AF433E7" w14:textId="77777777" w:rsidR="000C1E0E" w:rsidRDefault="000C1E0E" w:rsidP="000C1E0E">
      <w:pPr>
        <w:autoSpaceDE w:val="0"/>
        <w:autoSpaceDN w:val="0"/>
        <w:spacing w:line="240" w:lineRule="auto"/>
        <w:rPr>
          <w:sz w:val="24"/>
          <w:szCs w:val="24"/>
        </w:rPr>
      </w:pPr>
    </w:p>
    <w:p w14:paraId="4577FA30" w14:textId="77777777" w:rsidR="000C1E0E" w:rsidRDefault="000C1E0E" w:rsidP="000C1E0E">
      <w:pPr>
        <w:keepNext/>
        <w:tabs>
          <w:tab w:val="left" w:pos="2977"/>
        </w:tabs>
        <w:suppressAutoHyphens/>
        <w:spacing w:line="240" w:lineRule="auto"/>
        <w:jc w:val="center"/>
        <w:outlineLvl w:val="2"/>
        <w:rPr>
          <w:sz w:val="24"/>
          <w:szCs w:val="24"/>
        </w:rPr>
      </w:pPr>
      <w:r>
        <w:rPr>
          <w:sz w:val="24"/>
          <w:szCs w:val="24"/>
        </w:rPr>
        <w:t>Таблица 2. Оценка финансового состояния контрагента.</w:t>
      </w:r>
    </w:p>
    <w:tbl>
      <w:tblPr>
        <w:tblW w:w="4936"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2495"/>
        <w:gridCol w:w="2907"/>
        <w:gridCol w:w="874"/>
        <w:gridCol w:w="1794"/>
        <w:gridCol w:w="1135"/>
      </w:tblGrid>
      <w:tr w:rsidR="000C1E0E" w14:paraId="1260BFD9" w14:textId="77777777" w:rsidTr="0098752B">
        <w:trPr>
          <w:trHeight w:val="340"/>
          <w:jc w:val="center"/>
        </w:trPr>
        <w:tc>
          <w:tcPr>
            <w:tcW w:w="2599" w:type="dxa"/>
            <w:tcBorders>
              <w:top w:val="single" w:sz="12" w:space="0" w:color="auto"/>
              <w:left w:val="single" w:sz="12" w:space="0" w:color="auto"/>
              <w:bottom w:val="single" w:sz="12" w:space="0" w:color="auto"/>
              <w:right w:val="single" w:sz="6" w:space="0" w:color="auto"/>
            </w:tcBorders>
            <w:shd w:val="pct20" w:color="C0C0C0" w:fill="auto"/>
            <w:vAlign w:val="center"/>
            <w:hideMark/>
          </w:tcPr>
          <w:p w14:paraId="26C5D20A" w14:textId="77777777" w:rsidR="000C1E0E" w:rsidRDefault="000C1E0E" w:rsidP="0098752B">
            <w:pPr>
              <w:spacing w:line="240" w:lineRule="auto"/>
              <w:jc w:val="center"/>
              <w:rPr>
                <w:sz w:val="24"/>
                <w:szCs w:val="24"/>
              </w:rPr>
            </w:pPr>
            <w:r>
              <w:rPr>
                <w:sz w:val="24"/>
                <w:szCs w:val="24"/>
              </w:rPr>
              <w:t>ПОКАЗАТЕЛЬ</w:t>
            </w:r>
          </w:p>
        </w:tc>
        <w:tc>
          <w:tcPr>
            <w:tcW w:w="2938" w:type="dxa"/>
            <w:tcBorders>
              <w:top w:val="single" w:sz="12" w:space="0" w:color="auto"/>
              <w:left w:val="single" w:sz="6" w:space="0" w:color="auto"/>
              <w:bottom w:val="single" w:sz="12" w:space="0" w:color="auto"/>
              <w:right w:val="single" w:sz="6" w:space="0" w:color="auto"/>
            </w:tcBorders>
            <w:shd w:val="pct20" w:color="C0C0C0" w:fill="auto"/>
            <w:vAlign w:val="center"/>
            <w:hideMark/>
          </w:tcPr>
          <w:p w14:paraId="0E1791DE" w14:textId="77777777" w:rsidR="000C1E0E" w:rsidRDefault="000C1E0E" w:rsidP="0098752B">
            <w:pPr>
              <w:spacing w:line="240" w:lineRule="auto"/>
              <w:jc w:val="center"/>
              <w:rPr>
                <w:sz w:val="24"/>
                <w:szCs w:val="24"/>
              </w:rPr>
            </w:pPr>
            <w:r>
              <w:rPr>
                <w:sz w:val="24"/>
                <w:szCs w:val="24"/>
              </w:rPr>
              <w:t>ФОРМУЛА</w:t>
            </w:r>
          </w:p>
        </w:tc>
        <w:tc>
          <w:tcPr>
            <w:tcW w:w="889" w:type="dxa"/>
            <w:tcBorders>
              <w:top w:val="single" w:sz="12" w:space="0" w:color="auto"/>
              <w:left w:val="single" w:sz="6" w:space="0" w:color="auto"/>
              <w:bottom w:val="single" w:sz="12" w:space="0" w:color="auto"/>
              <w:right w:val="single" w:sz="6" w:space="0" w:color="auto"/>
            </w:tcBorders>
            <w:shd w:val="pct20" w:color="C0C0C0" w:fill="auto"/>
            <w:vAlign w:val="center"/>
            <w:hideMark/>
          </w:tcPr>
          <w:p w14:paraId="3943A905" w14:textId="77777777" w:rsidR="000C1E0E" w:rsidRDefault="000C1E0E" w:rsidP="0098752B">
            <w:pPr>
              <w:spacing w:line="240" w:lineRule="auto"/>
              <w:jc w:val="center"/>
              <w:rPr>
                <w:sz w:val="24"/>
                <w:szCs w:val="24"/>
              </w:rPr>
            </w:pPr>
            <w:r>
              <w:rPr>
                <w:sz w:val="24"/>
                <w:szCs w:val="24"/>
              </w:rPr>
              <w:t>ВЕС</w:t>
            </w:r>
          </w:p>
        </w:tc>
        <w:tc>
          <w:tcPr>
            <w:tcW w:w="1843" w:type="dxa"/>
            <w:tcBorders>
              <w:top w:val="single" w:sz="12" w:space="0" w:color="auto"/>
              <w:left w:val="single" w:sz="6" w:space="0" w:color="auto"/>
              <w:bottom w:val="single" w:sz="12" w:space="0" w:color="auto"/>
              <w:right w:val="single" w:sz="6" w:space="0" w:color="auto"/>
            </w:tcBorders>
            <w:shd w:val="pct20" w:color="C0C0C0" w:fill="auto"/>
            <w:vAlign w:val="center"/>
            <w:hideMark/>
          </w:tcPr>
          <w:p w14:paraId="73B80792" w14:textId="77777777" w:rsidR="000C1E0E" w:rsidRDefault="000C1E0E" w:rsidP="0098752B">
            <w:pPr>
              <w:spacing w:line="240" w:lineRule="auto"/>
              <w:jc w:val="center"/>
              <w:rPr>
                <w:sz w:val="24"/>
                <w:szCs w:val="24"/>
              </w:rPr>
            </w:pPr>
            <w:r>
              <w:rPr>
                <w:sz w:val="24"/>
                <w:szCs w:val="24"/>
              </w:rPr>
              <w:t>ЗНАЧЕНИЕ</w:t>
            </w:r>
          </w:p>
        </w:tc>
        <w:tc>
          <w:tcPr>
            <w:tcW w:w="1179" w:type="dxa"/>
            <w:tcBorders>
              <w:top w:val="single" w:sz="12" w:space="0" w:color="auto"/>
              <w:left w:val="single" w:sz="6" w:space="0" w:color="auto"/>
              <w:bottom w:val="single" w:sz="12" w:space="0" w:color="auto"/>
              <w:right w:val="single" w:sz="12" w:space="0" w:color="auto"/>
            </w:tcBorders>
            <w:shd w:val="pct20" w:color="C0C0C0" w:fill="auto"/>
            <w:vAlign w:val="center"/>
            <w:hideMark/>
          </w:tcPr>
          <w:p w14:paraId="7607554F" w14:textId="77777777" w:rsidR="000C1E0E" w:rsidRDefault="000C1E0E" w:rsidP="0098752B">
            <w:pPr>
              <w:spacing w:line="240" w:lineRule="auto"/>
              <w:jc w:val="center"/>
              <w:rPr>
                <w:sz w:val="24"/>
                <w:szCs w:val="24"/>
              </w:rPr>
            </w:pPr>
            <w:r>
              <w:rPr>
                <w:sz w:val="24"/>
                <w:szCs w:val="24"/>
              </w:rPr>
              <w:t>БАЛЛ</w:t>
            </w:r>
          </w:p>
        </w:tc>
      </w:tr>
      <w:tr w:rsidR="000C1E0E" w14:paraId="6AB18115" w14:textId="77777777" w:rsidTr="0098752B">
        <w:trPr>
          <w:trHeight w:val="270"/>
          <w:jc w:val="center"/>
        </w:trPr>
        <w:tc>
          <w:tcPr>
            <w:tcW w:w="2599" w:type="dxa"/>
            <w:vMerge w:val="restart"/>
            <w:tcBorders>
              <w:top w:val="single" w:sz="12" w:space="0" w:color="auto"/>
              <w:left w:val="single" w:sz="12" w:space="0" w:color="auto"/>
              <w:bottom w:val="single" w:sz="12" w:space="0" w:color="auto"/>
              <w:right w:val="single" w:sz="6" w:space="0" w:color="auto"/>
            </w:tcBorders>
            <w:vAlign w:val="center"/>
            <w:hideMark/>
          </w:tcPr>
          <w:p w14:paraId="24AC9CF5" w14:textId="77777777" w:rsidR="000C1E0E" w:rsidRDefault="000C1E0E" w:rsidP="0098752B">
            <w:pPr>
              <w:spacing w:line="240" w:lineRule="auto"/>
              <w:jc w:val="center"/>
              <w:rPr>
                <w:sz w:val="24"/>
                <w:szCs w:val="24"/>
              </w:rPr>
            </w:pPr>
            <w:r>
              <w:rPr>
                <w:sz w:val="24"/>
                <w:szCs w:val="24"/>
              </w:rPr>
              <w:t>Изменение активов</w:t>
            </w:r>
          </w:p>
        </w:tc>
        <w:tc>
          <w:tcPr>
            <w:tcW w:w="2938" w:type="dxa"/>
            <w:vMerge w:val="restart"/>
            <w:tcBorders>
              <w:top w:val="single" w:sz="12" w:space="0" w:color="auto"/>
              <w:left w:val="single" w:sz="6" w:space="0" w:color="auto"/>
              <w:bottom w:val="single" w:sz="12" w:space="0" w:color="auto"/>
              <w:right w:val="single" w:sz="6" w:space="0" w:color="auto"/>
            </w:tcBorders>
            <w:vAlign w:val="center"/>
            <w:hideMark/>
          </w:tcPr>
          <w:p w14:paraId="0D0E3488" w14:textId="77777777" w:rsidR="000C1E0E" w:rsidRDefault="000C1E0E" w:rsidP="0098752B">
            <w:pPr>
              <w:spacing w:line="240" w:lineRule="auto"/>
              <w:jc w:val="center"/>
              <w:rPr>
                <w:sz w:val="24"/>
                <w:szCs w:val="24"/>
              </w:rPr>
            </w:pPr>
            <w:r>
              <w:rPr>
                <w:sz w:val="24"/>
                <w:szCs w:val="24"/>
              </w:rPr>
              <w:t>[[Активы на отчётный период] - [Активы на предыдущий период]] / [Активы на предыдущий период]</w:t>
            </w:r>
          </w:p>
        </w:tc>
        <w:tc>
          <w:tcPr>
            <w:tcW w:w="889" w:type="dxa"/>
            <w:vMerge w:val="restart"/>
            <w:tcBorders>
              <w:top w:val="single" w:sz="12" w:space="0" w:color="auto"/>
              <w:left w:val="single" w:sz="6" w:space="0" w:color="auto"/>
              <w:bottom w:val="single" w:sz="12" w:space="0" w:color="auto"/>
              <w:right w:val="single" w:sz="6" w:space="0" w:color="auto"/>
            </w:tcBorders>
            <w:vAlign w:val="center"/>
            <w:hideMark/>
          </w:tcPr>
          <w:p w14:paraId="7501EA7E" w14:textId="77777777" w:rsidR="000C1E0E" w:rsidRDefault="000C1E0E" w:rsidP="0098752B">
            <w:pPr>
              <w:spacing w:line="240" w:lineRule="auto"/>
              <w:jc w:val="center"/>
              <w:rPr>
                <w:sz w:val="24"/>
                <w:szCs w:val="24"/>
              </w:rPr>
            </w:pPr>
            <w:r>
              <w:rPr>
                <w:sz w:val="24"/>
                <w:szCs w:val="24"/>
              </w:rPr>
              <w:t>20%</w:t>
            </w:r>
          </w:p>
        </w:tc>
        <w:tc>
          <w:tcPr>
            <w:tcW w:w="1843" w:type="dxa"/>
            <w:tcBorders>
              <w:top w:val="single" w:sz="12" w:space="0" w:color="auto"/>
              <w:left w:val="single" w:sz="6" w:space="0" w:color="auto"/>
              <w:bottom w:val="single" w:sz="6" w:space="0" w:color="auto"/>
              <w:right w:val="single" w:sz="6" w:space="0" w:color="auto"/>
            </w:tcBorders>
            <w:hideMark/>
          </w:tcPr>
          <w:p w14:paraId="658DE09A" w14:textId="77777777" w:rsidR="000C1E0E" w:rsidRDefault="000C1E0E" w:rsidP="0098752B">
            <w:pPr>
              <w:spacing w:line="240" w:lineRule="auto"/>
              <w:jc w:val="center"/>
              <w:rPr>
                <w:sz w:val="24"/>
                <w:szCs w:val="24"/>
              </w:rPr>
            </w:pPr>
            <w:r>
              <w:rPr>
                <w:sz w:val="24"/>
                <w:szCs w:val="24"/>
              </w:rPr>
              <w:t>выше 0%</w:t>
            </w:r>
          </w:p>
        </w:tc>
        <w:tc>
          <w:tcPr>
            <w:tcW w:w="1179" w:type="dxa"/>
            <w:tcBorders>
              <w:top w:val="single" w:sz="12" w:space="0" w:color="auto"/>
              <w:left w:val="single" w:sz="6" w:space="0" w:color="auto"/>
              <w:bottom w:val="single" w:sz="6" w:space="0" w:color="auto"/>
              <w:right w:val="single" w:sz="12" w:space="0" w:color="auto"/>
            </w:tcBorders>
            <w:vAlign w:val="center"/>
            <w:hideMark/>
          </w:tcPr>
          <w:p w14:paraId="0EEE6551" w14:textId="77777777" w:rsidR="000C1E0E" w:rsidRDefault="000C1E0E" w:rsidP="0098752B">
            <w:pPr>
              <w:spacing w:line="240" w:lineRule="auto"/>
              <w:jc w:val="center"/>
              <w:rPr>
                <w:sz w:val="24"/>
                <w:szCs w:val="24"/>
              </w:rPr>
            </w:pPr>
            <w:r>
              <w:rPr>
                <w:sz w:val="24"/>
                <w:szCs w:val="24"/>
              </w:rPr>
              <w:t>100</w:t>
            </w:r>
          </w:p>
        </w:tc>
      </w:tr>
      <w:tr w:rsidR="000C1E0E" w14:paraId="4437AFC0" w14:textId="77777777" w:rsidTr="0098752B">
        <w:trPr>
          <w:trHeight w:val="270"/>
          <w:jc w:val="center"/>
        </w:trPr>
        <w:tc>
          <w:tcPr>
            <w:tcW w:w="0" w:type="auto"/>
            <w:vMerge/>
            <w:tcBorders>
              <w:top w:val="single" w:sz="12" w:space="0" w:color="auto"/>
              <w:left w:val="single" w:sz="12" w:space="0" w:color="auto"/>
              <w:bottom w:val="single" w:sz="12" w:space="0" w:color="auto"/>
              <w:right w:val="single" w:sz="6" w:space="0" w:color="auto"/>
            </w:tcBorders>
            <w:vAlign w:val="center"/>
            <w:hideMark/>
          </w:tcPr>
          <w:p w14:paraId="36B1E65C" w14:textId="77777777" w:rsidR="000C1E0E" w:rsidRDefault="000C1E0E" w:rsidP="0098752B">
            <w:pPr>
              <w:spacing w:line="240" w:lineRule="auto"/>
              <w:jc w:val="left"/>
              <w:rPr>
                <w:sz w:val="24"/>
                <w:szCs w:val="24"/>
              </w:rPr>
            </w:pPr>
          </w:p>
        </w:tc>
        <w:tc>
          <w:tcPr>
            <w:tcW w:w="0" w:type="auto"/>
            <w:vMerge/>
            <w:tcBorders>
              <w:top w:val="single" w:sz="12" w:space="0" w:color="auto"/>
              <w:left w:val="single" w:sz="6" w:space="0" w:color="auto"/>
              <w:bottom w:val="single" w:sz="12" w:space="0" w:color="auto"/>
              <w:right w:val="single" w:sz="6" w:space="0" w:color="auto"/>
            </w:tcBorders>
            <w:vAlign w:val="center"/>
            <w:hideMark/>
          </w:tcPr>
          <w:p w14:paraId="61DF2831" w14:textId="77777777" w:rsidR="000C1E0E" w:rsidRDefault="000C1E0E" w:rsidP="0098752B">
            <w:pPr>
              <w:spacing w:line="240" w:lineRule="auto"/>
              <w:jc w:val="left"/>
              <w:rPr>
                <w:sz w:val="24"/>
                <w:szCs w:val="24"/>
              </w:rPr>
            </w:pPr>
          </w:p>
        </w:tc>
        <w:tc>
          <w:tcPr>
            <w:tcW w:w="0" w:type="auto"/>
            <w:vMerge/>
            <w:tcBorders>
              <w:top w:val="single" w:sz="12" w:space="0" w:color="auto"/>
              <w:left w:val="single" w:sz="6" w:space="0" w:color="auto"/>
              <w:bottom w:val="single" w:sz="12" w:space="0" w:color="auto"/>
              <w:right w:val="single" w:sz="6" w:space="0" w:color="auto"/>
            </w:tcBorders>
            <w:vAlign w:val="center"/>
            <w:hideMark/>
          </w:tcPr>
          <w:p w14:paraId="4915D8A9" w14:textId="77777777" w:rsidR="000C1E0E" w:rsidRDefault="000C1E0E" w:rsidP="0098752B">
            <w:pPr>
              <w:spacing w:line="240" w:lineRule="auto"/>
              <w:jc w:val="left"/>
              <w:rPr>
                <w:sz w:val="24"/>
                <w:szCs w:val="24"/>
              </w:rPr>
            </w:pPr>
          </w:p>
        </w:tc>
        <w:tc>
          <w:tcPr>
            <w:tcW w:w="1843" w:type="dxa"/>
            <w:tcBorders>
              <w:top w:val="single" w:sz="6" w:space="0" w:color="auto"/>
              <w:left w:val="single" w:sz="6" w:space="0" w:color="auto"/>
              <w:bottom w:val="single" w:sz="6" w:space="0" w:color="auto"/>
              <w:right w:val="single" w:sz="6" w:space="0" w:color="auto"/>
            </w:tcBorders>
            <w:hideMark/>
          </w:tcPr>
          <w:p w14:paraId="6625A4B5" w14:textId="77777777" w:rsidR="000C1E0E" w:rsidRDefault="000C1E0E" w:rsidP="0098752B">
            <w:pPr>
              <w:spacing w:line="240" w:lineRule="auto"/>
              <w:jc w:val="center"/>
              <w:rPr>
                <w:sz w:val="24"/>
                <w:szCs w:val="24"/>
              </w:rPr>
            </w:pPr>
            <w:r>
              <w:rPr>
                <w:sz w:val="24"/>
                <w:szCs w:val="24"/>
              </w:rPr>
              <w:t>от -5% до 0%</w:t>
            </w:r>
          </w:p>
        </w:tc>
        <w:tc>
          <w:tcPr>
            <w:tcW w:w="1179" w:type="dxa"/>
            <w:tcBorders>
              <w:top w:val="single" w:sz="6" w:space="0" w:color="auto"/>
              <w:left w:val="single" w:sz="6" w:space="0" w:color="auto"/>
              <w:bottom w:val="single" w:sz="6" w:space="0" w:color="auto"/>
              <w:right w:val="single" w:sz="12" w:space="0" w:color="auto"/>
            </w:tcBorders>
            <w:vAlign w:val="center"/>
            <w:hideMark/>
          </w:tcPr>
          <w:p w14:paraId="4D2CA160" w14:textId="77777777" w:rsidR="000C1E0E" w:rsidRDefault="000C1E0E" w:rsidP="0098752B">
            <w:pPr>
              <w:spacing w:line="240" w:lineRule="auto"/>
              <w:jc w:val="center"/>
              <w:rPr>
                <w:sz w:val="24"/>
                <w:szCs w:val="24"/>
              </w:rPr>
            </w:pPr>
            <w:r>
              <w:rPr>
                <w:sz w:val="24"/>
                <w:szCs w:val="24"/>
              </w:rPr>
              <w:t>80</w:t>
            </w:r>
          </w:p>
        </w:tc>
      </w:tr>
      <w:tr w:rsidR="000C1E0E" w14:paraId="7A740692" w14:textId="77777777" w:rsidTr="0098752B">
        <w:trPr>
          <w:trHeight w:val="270"/>
          <w:jc w:val="center"/>
        </w:trPr>
        <w:tc>
          <w:tcPr>
            <w:tcW w:w="0" w:type="auto"/>
            <w:vMerge/>
            <w:tcBorders>
              <w:top w:val="single" w:sz="12" w:space="0" w:color="auto"/>
              <w:left w:val="single" w:sz="12" w:space="0" w:color="auto"/>
              <w:bottom w:val="single" w:sz="12" w:space="0" w:color="auto"/>
              <w:right w:val="single" w:sz="6" w:space="0" w:color="auto"/>
            </w:tcBorders>
            <w:vAlign w:val="center"/>
            <w:hideMark/>
          </w:tcPr>
          <w:p w14:paraId="275E245B" w14:textId="77777777" w:rsidR="000C1E0E" w:rsidRDefault="000C1E0E" w:rsidP="0098752B">
            <w:pPr>
              <w:spacing w:line="240" w:lineRule="auto"/>
              <w:jc w:val="left"/>
              <w:rPr>
                <w:sz w:val="24"/>
                <w:szCs w:val="24"/>
              </w:rPr>
            </w:pPr>
          </w:p>
        </w:tc>
        <w:tc>
          <w:tcPr>
            <w:tcW w:w="0" w:type="auto"/>
            <w:vMerge/>
            <w:tcBorders>
              <w:top w:val="single" w:sz="12" w:space="0" w:color="auto"/>
              <w:left w:val="single" w:sz="6" w:space="0" w:color="auto"/>
              <w:bottom w:val="single" w:sz="12" w:space="0" w:color="auto"/>
              <w:right w:val="single" w:sz="6" w:space="0" w:color="auto"/>
            </w:tcBorders>
            <w:vAlign w:val="center"/>
            <w:hideMark/>
          </w:tcPr>
          <w:p w14:paraId="61A57519" w14:textId="77777777" w:rsidR="000C1E0E" w:rsidRDefault="000C1E0E" w:rsidP="0098752B">
            <w:pPr>
              <w:spacing w:line="240" w:lineRule="auto"/>
              <w:jc w:val="left"/>
              <w:rPr>
                <w:sz w:val="24"/>
                <w:szCs w:val="24"/>
              </w:rPr>
            </w:pPr>
          </w:p>
        </w:tc>
        <w:tc>
          <w:tcPr>
            <w:tcW w:w="0" w:type="auto"/>
            <w:vMerge/>
            <w:tcBorders>
              <w:top w:val="single" w:sz="12" w:space="0" w:color="auto"/>
              <w:left w:val="single" w:sz="6" w:space="0" w:color="auto"/>
              <w:bottom w:val="single" w:sz="12" w:space="0" w:color="auto"/>
              <w:right w:val="single" w:sz="6" w:space="0" w:color="auto"/>
            </w:tcBorders>
            <w:vAlign w:val="center"/>
            <w:hideMark/>
          </w:tcPr>
          <w:p w14:paraId="238A2935" w14:textId="77777777" w:rsidR="000C1E0E" w:rsidRDefault="000C1E0E" w:rsidP="0098752B">
            <w:pPr>
              <w:spacing w:line="240" w:lineRule="auto"/>
              <w:jc w:val="left"/>
              <w:rPr>
                <w:sz w:val="24"/>
                <w:szCs w:val="24"/>
              </w:rPr>
            </w:pPr>
          </w:p>
        </w:tc>
        <w:tc>
          <w:tcPr>
            <w:tcW w:w="1843" w:type="dxa"/>
            <w:tcBorders>
              <w:top w:val="single" w:sz="6" w:space="0" w:color="auto"/>
              <w:left w:val="single" w:sz="6" w:space="0" w:color="auto"/>
              <w:bottom w:val="single" w:sz="6" w:space="0" w:color="auto"/>
              <w:right w:val="single" w:sz="6" w:space="0" w:color="auto"/>
            </w:tcBorders>
            <w:hideMark/>
          </w:tcPr>
          <w:p w14:paraId="065BAA07" w14:textId="77777777" w:rsidR="000C1E0E" w:rsidRDefault="000C1E0E" w:rsidP="0098752B">
            <w:pPr>
              <w:spacing w:line="240" w:lineRule="auto"/>
              <w:jc w:val="center"/>
              <w:rPr>
                <w:sz w:val="24"/>
                <w:szCs w:val="24"/>
              </w:rPr>
            </w:pPr>
            <w:r>
              <w:rPr>
                <w:sz w:val="24"/>
                <w:szCs w:val="24"/>
              </w:rPr>
              <w:t>от -10% до -5%</w:t>
            </w:r>
          </w:p>
        </w:tc>
        <w:tc>
          <w:tcPr>
            <w:tcW w:w="1179" w:type="dxa"/>
            <w:tcBorders>
              <w:top w:val="single" w:sz="6" w:space="0" w:color="auto"/>
              <w:left w:val="single" w:sz="6" w:space="0" w:color="auto"/>
              <w:bottom w:val="single" w:sz="6" w:space="0" w:color="auto"/>
              <w:right w:val="single" w:sz="12" w:space="0" w:color="auto"/>
            </w:tcBorders>
            <w:vAlign w:val="center"/>
            <w:hideMark/>
          </w:tcPr>
          <w:p w14:paraId="059684DF" w14:textId="77777777" w:rsidR="000C1E0E" w:rsidRDefault="000C1E0E" w:rsidP="0098752B">
            <w:pPr>
              <w:spacing w:line="240" w:lineRule="auto"/>
              <w:jc w:val="center"/>
              <w:rPr>
                <w:sz w:val="24"/>
                <w:szCs w:val="24"/>
              </w:rPr>
            </w:pPr>
            <w:r>
              <w:rPr>
                <w:sz w:val="24"/>
                <w:szCs w:val="24"/>
              </w:rPr>
              <w:t>60</w:t>
            </w:r>
          </w:p>
        </w:tc>
      </w:tr>
      <w:tr w:rsidR="000C1E0E" w14:paraId="3BDFC522" w14:textId="77777777" w:rsidTr="0098752B">
        <w:trPr>
          <w:trHeight w:val="270"/>
          <w:jc w:val="center"/>
        </w:trPr>
        <w:tc>
          <w:tcPr>
            <w:tcW w:w="0" w:type="auto"/>
            <w:vMerge/>
            <w:tcBorders>
              <w:top w:val="single" w:sz="12" w:space="0" w:color="auto"/>
              <w:left w:val="single" w:sz="12" w:space="0" w:color="auto"/>
              <w:bottom w:val="single" w:sz="12" w:space="0" w:color="auto"/>
              <w:right w:val="single" w:sz="6" w:space="0" w:color="auto"/>
            </w:tcBorders>
            <w:vAlign w:val="center"/>
            <w:hideMark/>
          </w:tcPr>
          <w:p w14:paraId="502D0BA5" w14:textId="77777777" w:rsidR="000C1E0E" w:rsidRDefault="000C1E0E" w:rsidP="0098752B">
            <w:pPr>
              <w:spacing w:line="240" w:lineRule="auto"/>
              <w:jc w:val="left"/>
              <w:rPr>
                <w:sz w:val="24"/>
                <w:szCs w:val="24"/>
              </w:rPr>
            </w:pPr>
          </w:p>
        </w:tc>
        <w:tc>
          <w:tcPr>
            <w:tcW w:w="0" w:type="auto"/>
            <w:vMerge/>
            <w:tcBorders>
              <w:top w:val="single" w:sz="12" w:space="0" w:color="auto"/>
              <w:left w:val="single" w:sz="6" w:space="0" w:color="auto"/>
              <w:bottom w:val="single" w:sz="12" w:space="0" w:color="auto"/>
              <w:right w:val="single" w:sz="6" w:space="0" w:color="auto"/>
            </w:tcBorders>
            <w:vAlign w:val="center"/>
            <w:hideMark/>
          </w:tcPr>
          <w:p w14:paraId="6B24957A" w14:textId="77777777" w:rsidR="000C1E0E" w:rsidRDefault="000C1E0E" w:rsidP="0098752B">
            <w:pPr>
              <w:spacing w:line="240" w:lineRule="auto"/>
              <w:jc w:val="left"/>
              <w:rPr>
                <w:sz w:val="24"/>
                <w:szCs w:val="24"/>
              </w:rPr>
            </w:pPr>
          </w:p>
        </w:tc>
        <w:tc>
          <w:tcPr>
            <w:tcW w:w="0" w:type="auto"/>
            <w:vMerge/>
            <w:tcBorders>
              <w:top w:val="single" w:sz="12" w:space="0" w:color="auto"/>
              <w:left w:val="single" w:sz="6" w:space="0" w:color="auto"/>
              <w:bottom w:val="single" w:sz="12" w:space="0" w:color="auto"/>
              <w:right w:val="single" w:sz="6" w:space="0" w:color="auto"/>
            </w:tcBorders>
            <w:vAlign w:val="center"/>
            <w:hideMark/>
          </w:tcPr>
          <w:p w14:paraId="75874FAB" w14:textId="77777777" w:rsidR="000C1E0E" w:rsidRDefault="000C1E0E" w:rsidP="0098752B">
            <w:pPr>
              <w:spacing w:line="240" w:lineRule="auto"/>
              <w:jc w:val="left"/>
              <w:rPr>
                <w:sz w:val="24"/>
                <w:szCs w:val="24"/>
              </w:rPr>
            </w:pPr>
          </w:p>
        </w:tc>
        <w:tc>
          <w:tcPr>
            <w:tcW w:w="1843" w:type="dxa"/>
            <w:tcBorders>
              <w:top w:val="single" w:sz="6" w:space="0" w:color="auto"/>
              <w:left w:val="single" w:sz="6" w:space="0" w:color="auto"/>
              <w:bottom w:val="single" w:sz="6" w:space="0" w:color="auto"/>
              <w:right w:val="single" w:sz="6" w:space="0" w:color="auto"/>
            </w:tcBorders>
            <w:hideMark/>
          </w:tcPr>
          <w:p w14:paraId="630857F8" w14:textId="77777777" w:rsidR="000C1E0E" w:rsidRDefault="000C1E0E" w:rsidP="0098752B">
            <w:pPr>
              <w:spacing w:line="240" w:lineRule="auto"/>
              <w:jc w:val="center"/>
              <w:rPr>
                <w:sz w:val="24"/>
                <w:szCs w:val="24"/>
              </w:rPr>
            </w:pPr>
            <w:r>
              <w:rPr>
                <w:sz w:val="24"/>
                <w:szCs w:val="24"/>
              </w:rPr>
              <w:t>от -15% до -10%</w:t>
            </w:r>
          </w:p>
        </w:tc>
        <w:tc>
          <w:tcPr>
            <w:tcW w:w="1179" w:type="dxa"/>
            <w:tcBorders>
              <w:top w:val="single" w:sz="6" w:space="0" w:color="auto"/>
              <w:left w:val="single" w:sz="6" w:space="0" w:color="auto"/>
              <w:bottom w:val="single" w:sz="6" w:space="0" w:color="auto"/>
              <w:right w:val="single" w:sz="12" w:space="0" w:color="auto"/>
            </w:tcBorders>
            <w:vAlign w:val="center"/>
            <w:hideMark/>
          </w:tcPr>
          <w:p w14:paraId="5223A0E1" w14:textId="77777777" w:rsidR="000C1E0E" w:rsidRDefault="000C1E0E" w:rsidP="0098752B">
            <w:pPr>
              <w:spacing w:line="240" w:lineRule="auto"/>
              <w:jc w:val="center"/>
              <w:rPr>
                <w:sz w:val="24"/>
                <w:szCs w:val="24"/>
              </w:rPr>
            </w:pPr>
            <w:r>
              <w:rPr>
                <w:sz w:val="24"/>
                <w:szCs w:val="24"/>
              </w:rPr>
              <w:t>40</w:t>
            </w:r>
          </w:p>
        </w:tc>
      </w:tr>
      <w:tr w:rsidR="000C1E0E" w14:paraId="72FF8802" w14:textId="77777777" w:rsidTr="0098752B">
        <w:trPr>
          <w:trHeight w:val="270"/>
          <w:jc w:val="center"/>
        </w:trPr>
        <w:tc>
          <w:tcPr>
            <w:tcW w:w="0" w:type="auto"/>
            <w:vMerge/>
            <w:tcBorders>
              <w:top w:val="single" w:sz="12" w:space="0" w:color="auto"/>
              <w:left w:val="single" w:sz="12" w:space="0" w:color="auto"/>
              <w:bottom w:val="single" w:sz="12" w:space="0" w:color="auto"/>
              <w:right w:val="single" w:sz="6" w:space="0" w:color="auto"/>
            </w:tcBorders>
            <w:vAlign w:val="center"/>
            <w:hideMark/>
          </w:tcPr>
          <w:p w14:paraId="129A8AB0" w14:textId="77777777" w:rsidR="000C1E0E" w:rsidRDefault="000C1E0E" w:rsidP="0098752B">
            <w:pPr>
              <w:spacing w:line="240" w:lineRule="auto"/>
              <w:jc w:val="left"/>
              <w:rPr>
                <w:sz w:val="24"/>
                <w:szCs w:val="24"/>
              </w:rPr>
            </w:pPr>
          </w:p>
        </w:tc>
        <w:tc>
          <w:tcPr>
            <w:tcW w:w="0" w:type="auto"/>
            <w:vMerge/>
            <w:tcBorders>
              <w:top w:val="single" w:sz="12" w:space="0" w:color="auto"/>
              <w:left w:val="single" w:sz="6" w:space="0" w:color="auto"/>
              <w:bottom w:val="single" w:sz="12" w:space="0" w:color="auto"/>
              <w:right w:val="single" w:sz="6" w:space="0" w:color="auto"/>
            </w:tcBorders>
            <w:vAlign w:val="center"/>
            <w:hideMark/>
          </w:tcPr>
          <w:p w14:paraId="4DC7338A" w14:textId="77777777" w:rsidR="000C1E0E" w:rsidRDefault="000C1E0E" w:rsidP="0098752B">
            <w:pPr>
              <w:spacing w:line="240" w:lineRule="auto"/>
              <w:jc w:val="left"/>
              <w:rPr>
                <w:sz w:val="24"/>
                <w:szCs w:val="24"/>
              </w:rPr>
            </w:pPr>
          </w:p>
        </w:tc>
        <w:tc>
          <w:tcPr>
            <w:tcW w:w="0" w:type="auto"/>
            <w:vMerge/>
            <w:tcBorders>
              <w:top w:val="single" w:sz="12" w:space="0" w:color="auto"/>
              <w:left w:val="single" w:sz="6" w:space="0" w:color="auto"/>
              <w:bottom w:val="single" w:sz="12" w:space="0" w:color="auto"/>
              <w:right w:val="single" w:sz="6" w:space="0" w:color="auto"/>
            </w:tcBorders>
            <w:vAlign w:val="center"/>
            <w:hideMark/>
          </w:tcPr>
          <w:p w14:paraId="6E111869" w14:textId="77777777" w:rsidR="000C1E0E" w:rsidRDefault="000C1E0E" w:rsidP="0098752B">
            <w:pPr>
              <w:spacing w:line="240" w:lineRule="auto"/>
              <w:jc w:val="left"/>
              <w:rPr>
                <w:sz w:val="24"/>
                <w:szCs w:val="24"/>
              </w:rPr>
            </w:pPr>
          </w:p>
        </w:tc>
        <w:tc>
          <w:tcPr>
            <w:tcW w:w="1843" w:type="dxa"/>
            <w:tcBorders>
              <w:top w:val="single" w:sz="6" w:space="0" w:color="auto"/>
              <w:left w:val="single" w:sz="6" w:space="0" w:color="auto"/>
              <w:bottom w:val="single" w:sz="6" w:space="0" w:color="auto"/>
              <w:right w:val="single" w:sz="6" w:space="0" w:color="auto"/>
            </w:tcBorders>
            <w:hideMark/>
          </w:tcPr>
          <w:p w14:paraId="20E267D6" w14:textId="77777777" w:rsidR="000C1E0E" w:rsidRDefault="000C1E0E" w:rsidP="0098752B">
            <w:pPr>
              <w:spacing w:line="240" w:lineRule="auto"/>
              <w:jc w:val="center"/>
              <w:rPr>
                <w:sz w:val="24"/>
                <w:szCs w:val="24"/>
              </w:rPr>
            </w:pPr>
            <w:r>
              <w:rPr>
                <w:sz w:val="24"/>
                <w:szCs w:val="24"/>
              </w:rPr>
              <w:t>от -20% до -15%</w:t>
            </w:r>
          </w:p>
        </w:tc>
        <w:tc>
          <w:tcPr>
            <w:tcW w:w="1179" w:type="dxa"/>
            <w:tcBorders>
              <w:top w:val="single" w:sz="6" w:space="0" w:color="auto"/>
              <w:left w:val="single" w:sz="6" w:space="0" w:color="auto"/>
              <w:bottom w:val="single" w:sz="6" w:space="0" w:color="auto"/>
              <w:right w:val="single" w:sz="12" w:space="0" w:color="auto"/>
            </w:tcBorders>
            <w:vAlign w:val="center"/>
            <w:hideMark/>
          </w:tcPr>
          <w:p w14:paraId="28B6419A" w14:textId="77777777" w:rsidR="000C1E0E" w:rsidRDefault="000C1E0E" w:rsidP="0098752B">
            <w:pPr>
              <w:spacing w:line="240" w:lineRule="auto"/>
              <w:jc w:val="center"/>
              <w:rPr>
                <w:sz w:val="24"/>
                <w:szCs w:val="24"/>
              </w:rPr>
            </w:pPr>
            <w:r>
              <w:rPr>
                <w:sz w:val="24"/>
                <w:szCs w:val="24"/>
              </w:rPr>
              <w:t>20</w:t>
            </w:r>
          </w:p>
        </w:tc>
      </w:tr>
      <w:tr w:rsidR="000C1E0E" w14:paraId="0A98F788" w14:textId="77777777" w:rsidTr="0098752B">
        <w:trPr>
          <w:trHeight w:val="270"/>
          <w:jc w:val="center"/>
        </w:trPr>
        <w:tc>
          <w:tcPr>
            <w:tcW w:w="0" w:type="auto"/>
            <w:vMerge/>
            <w:tcBorders>
              <w:top w:val="single" w:sz="12" w:space="0" w:color="auto"/>
              <w:left w:val="single" w:sz="12" w:space="0" w:color="auto"/>
              <w:bottom w:val="single" w:sz="12" w:space="0" w:color="auto"/>
              <w:right w:val="single" w:sz="6" w:space="0" w:color="auto"/>
            </w:tcBorders>
            <w:vAlign w:val="center"/>
            <w:hideMark/>
          </w:tcPr>
          <w:p w14:paraId="5011B77A" w14:textId="77777777" w:rsidR="000C1E0E" w:rsidRDefault="000C1E0E" w:rsidP="0098752B">
            <w:pPr>
              <w:spacing w:line="240" w:lineRule="auto"/>
              <w:jc w:val="left"/>
              <w:rPr>
                <w:sz w:val="24"/>
                <w:szCs w:val="24"/>
              </w:rPr>
            </w:pPr>
          </w:p>
        </w:tc>
        <w:tc>
          <w:tcPr>
            <w:tcW w:w="0" w:type="auto"/>
            <w:vMerge/>
            <w:tcBorders>
              <w:top w:val="single" w:sz="12" w:space="0" w:color="auto"/>
              <w:left w:val="single" w:sz="6" w:space="0" w:color="auto"/>
              <w:bottom w:val="single" w:sz="12" w:space="0" w:color="auto"/>
              <w:right w:val="single" w:sz="6" w:space="0" w:color="auto"/>
            </w:tcBorders>
            <w:vAlign w:val="center"/>
            <w:hideMark/>
          </w:tcPr>
          <w:p w14:paraId="52B89BCF" w14:textId="77777777" w:rsidR="000C1E0E" w:rsidRDefault="000C1E0E" w:rsidP="0098752B">
            <w:pPr>
              <w:spacing w:line="240" w:lineRule="auto"/>
              <w:jc w:val="left"/>
              <w:rPr>
                <w:sz w:val="24"/>
                <w:szCs w:val="24"/>
              </w:rPr>
            </w:pPr>
          </w:p>
        </w:tc>
        <w:tc>
          <w:tcPr>
            <w:tcW w:w="0" w:type="auto"/>
            <w:vMerge/>
            <w:tcBorders>
              <w:top w:val="single" w:sz="12" w:space="0" w:color="auto"/>
              <w:left w:val="single" w:sz="6" w:space="0" w:color="auto"/>
              <w:bottom w:val="single" w:sz="12" w:space="0" w:color="auto"/>
              <w:right w:val="single" w:sz="6" w:space="0" w:color="auto"/>
            </w:tcBorders>
            <w:vAlign w:val="center"/>
            <w:hideMark/>
          </w:tcPr>
          <w:p w14:paraId="0F3E41E6" w14:textId="77777777" w:rsidR="000C1E0E" w:rsidRDefault="000C1E0E" w:rsidP="0098752B">
            <w:pPr>
              <w:spacing w:line="240" w:lineRule="auto"/>
              <w:jc w:val="left"/>
              <w:rPr>
                <w:sz w:val="24"/>
                <w:szCs w:val="24"/>
              </w:rPr>
            </w:pPr>
          </w:p>
        </w:tc>
        <w:tc>
          <w:tcPr>
            <w:tcW w:w="1843" w:type="dxa"/>
            <w:tcBorders>
              <w:top w:val="single" w:sz="6" w:space="0" w:color="auto"/>
              <w:left w:val="single" w:sz="6" w:space="0" w:color="auto"/>
              <w:bottom w:val="single" w:sz="12" w:space="0" w:color="auto"/>
              <w:right w:val="single" w:sz="6" w:space="0" w:color="auto"/>
            </w:tcBorders>
            <w:hideMark/>
          </w:tcPr>
          <w:p w14:paraId="6272C508" w14:textId="77777777" w:rsidR="000C1E0E" w:rsidRDefault="000C1E0E" w:rsidP="0098752B">
            <w:pPr>
              <w:spacing w:line="240" w:lineRule="auto"/>
              <w:jc w:val="center"/>
              <w:rPr>
                <w:sz w:val="24"/>
                <w:szCs w:val="24"/>
              </w:rPr>
            </w:pPr>
            <w:r>
              <w:rPr>
                <w:sz w:val="24"/>
                <w:szCs w:val="24"/>
              </w:rPr>
              <w:t>до -20%</w:t>
            </w:r>
          </w:p>
        </w:tc>
        <w:tc>
          <w:tcPr>
            <w:tcW w:w="1179" w:type="dxa"/>
            <w:tcBorders>
              <w:top w:val="single" w:sz="6" w:space="0" w:color="auto"/>
              <w:left w:val="single" w:sz="6" w:space="0" w:color="auto"/>
              <w:bottom w:val="single" w:sz="12" w:space="0" w:color="auto"/>
              <w:right w:val="single" w:sz="12" w:space="0" w:color="auto"/>
            </w:tcBorders>
            <w:vAlign w:val="center"/>
            <w:hideMark/>
          </w:tcPr>
          <w:p w14:paraId="67FDB1C0" w14:textId="77777777" w:rsidR="000C1E0E" w:rsidRDefault="000C1E0E" w:rsidP="0098752B">
            <w:pPr>
              <w:spacing w:line="240" w:lineRule="auto"/>
              <w:jc w:val="center"/>
              <w:rPr>
                <w:sz w:val="24"/>
                <w:szCs w:val="24"/>
              </w:rPr>
            </w:pPr>
            <w:r>
              <w:rPr>
                <w:sz w:val="24"/>
                <w:szCs w:val="24"/>
              </w:rPr>
              <w:t>0</w:t>
            </w:r>
          </w:p>
        </w:tc>
      </w:tr>
      <w:tr w:rsidR="000C1E0E" w14:paraId="65484969" w14:textId="77777777" w:rsidTr="0098752B">
        <w:trPr>
          <w:trHeight w:val="180"/>
          <w:jc w:val="center"/>
        </w:trPr>
        <w:tc>
          <w:tcPr>
            <w:tcW w:w="2599" w:type="dxa"/>
            <w:vMerge w:val="restart"/>
            <w:tcBorders>
              <w:top w:val="single" w:sz="12" w:space="0" w:color="auto"/>
              <w:left w:val="single" w:sz="12" w:space="0" w:color="auto"/>
              <w:bottom w:val="single" w:sz="12" w:space="0" w:color="auto"/>
              <w:right w:val="single" w:sz="6" w:space="0" w:color="auto"/>
            </w:tcBorders>
            <w:vAlign w:val="center"/>
            <w:hideMark/>
          </w:tcPr>
          <w:p w14:paraId="295CDBA6" w14:textId="77777777" w:rsidR="000C1E0E" w:rsidRDefault="000C1E0E" w:rsidP="0098752B">
            <w:pPr>
              <w:spacing w:line="240" w:lineRule="auto"/>
              <w:jc w:val="center"/>
              <w:rPr>
                <w:sz w:val="24"/>
                <w:szCs w:val="24"/>
              </w:rPr>
            </w:pPr>
            <w:r>
              <w:rPr>
                <w:sz w:val="24"/>
                <w:szCs w:val="24"/>
              </w:rPr>
              <w:t>Собственный капитал / Активы</w:t>
            </w:r>
          </w:p>
        </w:tc>
        <w:tc>
          <w:tcPr>
            <w:tcW w:w="2938" w:type="dxa"/>
            <w:vMerge w:val="restart"/>
            <w:tcBorders>
              <w:top w:val="single" w:sz="12" w:space="0" w:color="auto"/>
              <w:left w:val="single" w:sz="6" w:space="0" w:color="auto"/>
              <w:bottom w:val="single" w:sz="12" w:space="0" w:color="auto"/>
              <w:right w:val="single" w:sz="6" w:space="0" w:color="auto"/>
            </w:tcBorders>
            <w:vAlign w:val="center"/>
            <w:hideMark/>
          </w:tcPr>
          <w:p w14:paraId="6A632E78" w14:textId="77777777" w:rsidR="000C1E0E" w:rsidRDefault="000C1E0E" w:rsidP="0098752B">
            <w:pPr>
              <w:spacing w:line="240" w:lineRule="auto"/>
              <w:jc w:val="center"/>
              <w:rPr>
                <w:sz w:val="24"/>
                <w:szCs w:val="24"/>
              </w:rPr>
            </w:pPr>
            <w:r>
              <w:rPr>
                <w:sz w:val="24"/>
                <w:szCs w:val="24"/>
              </w:rPr>
              <w:t>[Собственный капитал на отчётный период] / [Итог баланса на отчётный период]</w:t>
            </w:r>
          </w:p>
        </w:tc>
        <w:tc>
          <w:tcPr>
            <w:tcW w:w="889" w:type="dxa"/>
            <w:vMerge w:val="restart"/>
            <w:tcBorders>
              <w:top w:val="single" w:sz="12" w:space="0" w:color="auto"/>
              <w:left w:val="single" w:sz="6" w:space="0" w:color="auto"/>
              <w:bottom w:val="single" w:sz="12" w:space="0" w:color="auto"/>
              <w:right w:val="single" w:sz="6" w:space="0" w:color="auto"/>
            </w:tcBorders>
            <w:vAlign w:val="center"/>
            <w:hideMark/>
          </w:tcPr>
          <w:p w14:paraId="79FA9026" w14:textId="77777777" w:rsidR="000C1E0E" w:rsidRDefault="000C1E0E" w:rsidP="0098752B">
            <w:pPr>
              <w:spacing w:line="240" w:lineRule="auto"/>
              <w:jc w:val="center"/>
              <w:rPr>
                <w:sz w:val="24"/>
                <w:szCs w:val="24"/>
              </w:rPr>
            </w:pPr>
            <w:r>
              <w:rPr>
                <w:sz w:val="24"/>
                <w:szCs w:val="24"/>
              </w:rPr>
              <w:t>20%</w:t>
            </w:r>
          </w:p>
        </w:tc>
        <w:tc>
          <w:tcPr>
            <w:tcW w:w="1843" w:type="dxa"/>
            <w:tcBorders>
              <w:top w:val="single" w:sz="12" w:space="0" w:color="auto"/>
              <w:left w:val="single" w:sz="6" w:space="0" w:color="auto"/>
              <w:bottom w:val="single" w:sz="6" w:space="0" w:color="auto"/>
              <w:right w:val="single" w:sz="6" w:space="0" w:color="auto"/>
            </w:tcBorders>
            <w:hideMark/>
          </w:tcPr>
          <w:p w14:paraId="1C790ADA" w14:textId="77777777" w:rsidR="000C1E0E" w:rsidRDefault="000C1E0E" w:rsidP="0098752B">
            <w:pPr>
              <w:spacing w:line="240" w:lineRule="auto"/>
              <w:jc w:val="center"/>
              <w:rPr>
                <w:sz w:val="24"/>
                <w:szCs w:val="24"/>
              </w:rPr>
            </w:pPr>
            <w:r>
              <w:rPr>
                <w:sz w:val="24"/>
                <w:szCs w:val="24"/>
              </w:rPr>
              <w:t>выше 20%</w:t>
            </w:r>
          </w:p>
        </w:tc>
        <w:tc>
          <w:tcPr>
            <w:tcW w:w="1179" w:type="dxa"/>
            <w:tcBorders>
              <w:top w:val="single" w:sz="12" w:space="0" w:color="auto"/>
              <w:left w:val="single" w:sz="6" w:space="0" w:color="auto"/>
              <w:bottom w:val="single" w:sz="6" w:space="0" w:color="auto"/>
              <w:right w:val="single" w:sz="12" w:space="0" w:color="auto"/>
            </w:tcBorders>
            <w:vAlign w:val="center"/>
            <w:hideMark/>
          </w:tcPr>
          <w:p w14:paraId="6AA20936" w14:textId="77777777" w:rsidR="000C1E0E" w:rsidRDefault="000C1E0E" w:rsidP="0098752B">
            <w:pPr>
              <w:spacing w:line="240" w:lineRule="auto"/>
              <w:jc w:val="center"/>
              <w:rPr>
                <w:sz w:val="24"/>
                <w:szCs w:val="24"/>
              </w:rPr>
            </w:pPr>
            <w:r>
              <w:rPr>
                <w:sz w:val="24"/>
                <w:szCs w:val="24"/>
              </w:rPr>
              <w:t>100</w:t>
            </w:r>
          </w:p>
        </w:tc>
      </w:tr>
      <w:tr w:rsidR="000C1E0E" w14:paraId="666A50D2" w14:textId="77777777" w:rsidTr="0098752B">
        <w:trPr>
          <w:trHeight w:val="180"/>
          <w:jc w:val="center"/>
        </w:trPr>
        <w:tc>
          <w:tcPr>
            <w:tcW w:w="0" w:type="auto"/>
            <w:vMerge/>
            <w:tcBorders>
              <w:top w:val="single" w:sz="12" w:space="0" w:color="auto"/>
              <w:left w:val="single" w:sz="12" w:space="0" w:color="auto"/>
              <w:bottom w:val="single" w:sz="12" w:space="0" w:color="auto"/>
              <w:right w:val="single" w:sz="6" w:space="0" w:color="auto"/>
            </w:tcBorders>
            <w:vAlign w:val="center"/>
            <w:hideMark/>
          </w:tcPr>
          <w:p w14:paraId="21353775" w14:textId="77777777" w:rsidR="000C1E0E" w:rsidRDefault="000C1E0E" w:rsidP="0098752B">
            <w:pPr>
              <w:spacing w:line="240" w:lineRule="auto"/>
              <w:jc w:val="left"/>
              <w:rPr>
                <w:sz w:val="24"/>
                <w:szCs w:val="24"/>
              </w:rPr>
            </w:pPr>
          </w:p>
        </w:tc>
        <w:tc>
          <w:tcPr>
            <w:tcW w:w="0" w:type="auto"/>
            <w:vMerge/>
            <w:tcBorders>
              <w:top w:val="single" w:sz="12" w:space="0" w:color="auto"/>
              <w:left w:val="single" w:sz="6" w:space="0" w:color="auto"/>
              <w:bottom w:val="single" w:sz="12" w:space="0" w:color="auto"/>
              <w:right w:val="single" w:sz="6" w:space="0" w:color="auto"/>
            </w:tcBorders>
            <w:vAlign w:val="center"/>
            <w:hideMark/>
          </w:tcPr>
          <w:p w14:paraId="119D5614" w14:textId="77777777" w:rsidR="000C1E0E" w:rsidRDefault="000C1E0E" w:rsidP="0098752B">
            <w:pPr>
              <w:spacing w:line="240" w:lineRule="auto"/>
              <w:jc w:val="left"/>
              <w:rPr>
                <w:sz w:val="24"/>
                <w:szCs w:val="24"/>
              </w:rPr>
            </w:pPr>
          </w:p>
        </w:tc>
        <w:tc>
          <w:tcPr>
            <w:tcW w:w="0" w:type="auto"/>
            <w:vMerge/>
            <w:tcBorders>
              <w:top w:val="single" w:sz="12" w:space="0" w:color="auto"/>
              <w:left w:val="single" w:sz="6" w:space="0" w:color="auto"/>
              <w:bottom w:val="single" w:sz="12" w:space="0" w:color="auto"/>
              <w:right w:val="single" w:sz="6" w:space="0" w:color="auto"/>
            </w:tcBorders>
            <w:vAlign w:val="center"/>
            <w:hideMark/>
          </w:tcPr>
          <w:p w14:paraId="5BFBF72F" w14:textId="77777777" w:rsidR="000C1E0E" w:rsidRDefault="000C1E0E" w:rsidP="0098752B">
            <w:pPr>
              <w:spacing w:line="240" w:lineRule="auto"/>
              <w:jc w:val="left"/>
              <w:rPr>
                <w:sz w:val="24"/>
                <w:szCs w:val="24"/>
              </w:rPr>
            </w:pPr>
          </w:p>
        </w:tc>
        <w:tc>
          <w:tcPr>
            <w:tcW w:w="1843" w:type="dxa"/>
            <w:tcBorders>
              <w:top w:val="single" w:sz="6" w:space="0" w:color="auto"/>
              <w:left w:val="single" w:sz="6" w:space="0" w:color="auto"/>
              <w:bottom w:val="single" w:sz="6" w:space="0" w:color="auto"/>
              <w:right w:val="single" w:sz="6" w:space="0" w:color="auto"/>
            </w:tcBorders>
            <w:hideMark/>
          </w:tcPr>
          <w:p w14:paraId="6C46AF92" w14:textId="77777777" w:rsidR="000C1E0E" w:rsidRDefault="000C1E0E" w:rsidP="0098752B">
            <w:pPr>
              <w:spacing w:line="240" w:lineRule="auto"/>
              <w:jc w:val="center"/>
              <w:rPr>
                <w:sz w:val="24"/>
                <w:szCs w:val="24"/>
              </w:rPr>
            </w:pPr>
            <w:r>
              <w:rPr>
                <w:sz w:val="24"/>
                <w:szCs w:val="24"/>
              </w:rPr>
              <w:t>от 16% до 20%</w:t>
            </w:r>
          </w:p>
        </w:tc>
        <w:tc>
          <w:tcPr>
            <w:tcW w:w="1179" w:type="dxa"/>
            <w:tcBorders>
              <w:top w:val="single" w:sz="6" w:space="0" w:color="auto"/>
              <w:left w:val="single" w:sz="6" w:space="0" w:color="auto"/>
              <w:bottom w:val="single" w:sz="6" w:space="0" w:color="auto"/>
              <w:right w:val="single" w:sz="12" w:space="0" w:color="auto"/>
            </w:tcBorders>
            <w:vAlign w:val="center"/>
            <w:hideMark/>
          </w:tcPr>
          <w:p w14:paraId="6ECA6AA6" w14:textId="77777777" w:rsidR="000C1E0E" w:rsidRDefault="000C1E0E" w:rsidP="0098752B">
            <w:pPr>
              <w:spacing w:line="240" w:lineRule="auto"/>
              <w:jc w:val="center"/>
              <w:rPr>
                <w:sz w:val="24"/>
                <w:szCs w:val="24"/>
              </w:rPr>
            </w:pPr>
            <w:r>
              <w:rPr>
                <w:sz w:val="24"/>
                <w:szCs w:val="24"/>
              </w:rPr>
              <w:t>80</w:t>
            </w:r>
          </w:p>
        </w:tc>
      </w:tr>
      <w:tr w:rsidR="000C1E0E" w14:paraId="330F6566" w14:textId="77777777" w:rsidTr="0098752B">
        <w:trPr>
          <w:trHeight w:val="180"/>
          <w:jc w:val="center"/>
        </w:trPr>
        <w:tc>
          <w:tcPr>
            <w:tcW w:w="0" w:type="auto"/>
            <w:vMerge/>
            <w:tcBorders>
              <w:top w:val="single" w:sz="12" w:space="0" w:color="auto"/>
              <w:left w:val="single" w:sz="12" w:space="0" w:color="auto"/>
              <w:bottom w:val="single" w:sz="12" w:space="0" w:color="auto"/>
              <w:right w:val="single" w:sz="6" w:space="0" w:color="auto"/>
            </w:tcBorders>
            <w:vAlign w:val="center"/>
            <w:hideMark/>
          </w:tcPr>
          <w:p w14:paraId="17AB857F" w14:textId="77777777" w:rsidR="000C1E0E" w:rsidRDefault="000C1E0E" w:rsidP="0098752B">
            <w:pPr>
              <w:spacing w:line="240" w:lineRule="auto"/>
              <w:jc w:val="left"/>
              <w:rPr>
                <w:sz w:val="24"/>
                <w:szCs w:val="24"/>
              </w:rPr>
            </w:pPr>
          </w:p>
        </w:tc>
        <w:tc>
          <w:tcPr>
            <w:tcW w:w="0" w:type="auto"/>
            <w:vMerge/>
            <w:tcBorders>
              <w:top w:val="single" w:sz="12" w:space="0" w:color="auto"/>
              <w:left w:val="single" w:sz="6" w:space="0" w:color="auto"/>
              <w:bottom w:val="single" w:sz="12" w:space="0" w:color="auto"/>
              <w:right w:val="single" w:sz="6" w:space="0" w:color="auto"/>
            </w:tcBorders>
            <w:vAlign w:val="center"/>
            <w:hideMark/>
          </w:tcPr>
          <w:p w14:paraId="2A2D209F" w14:textId="77777777" w:rsidR="000C1E0E" w:rsidRDefault="000C1E0E" w:rsidP="0098752B">
            <w:pPr>
              <w:spacing w:line="240" w:lineRule="auto"/>
              <w:jc w:val="left"/>
              <w:rPr>
                <w:sz w:val="24"/>
                <w:szCs w:val="24"/>
              </w:rPr>
            </w:pPr>
          </w:p>
        </w:tc>
        <w:tc>
          <w:tcPr>
            <w:tcW w:w="0" w:type="auto"/>
            <w:vMerge/>
            <w:tcBorders>
              <w:top w:val="single" w:sz="12" w:space="0" w:color="auto"/>
              <w:left w:val="single" w:sz="6" w:space="0" w:color="auto"/>
              <w:bottom w:val="single" w:sz="12" w:space="0" w:color="auto"/>
              <w:right w:val="single" w:sz="6" w:space="0" w:color="auto"/>
            </w:tcBorders>
            <w:vAlign w:val="center"/>
            <w:hideMark/>
          </w:tcPr>
          <w:p w14:paraId="2049322E" w14:textId="77777777" w:rsidR="000C1E0E" w:rsidRDefault="000C1E0E" w:rsidP="0098752B">
            <w:pPr>
              <w:spacing w:line="240" w:lineRule="auto"/>
              <w:jc w:val="left"/>
              <w:rPr>
                <w:sz w:val="24"/>
                <w:szCs w:val="24"/>
              </w:rPr>
            </w:pPr>
          </w:p>
        </w:tc>
        <w:tc>
          <w:tcPr>
            <w:tcW w:w="1843" w:type="dxa"/>
            <w:tcBorders>
              <w:top w:val="single" w:sz="6" w:space="0" w:color="auto"/>
              <w:left w:val="single" w:sz="6" w:space="0" w:color="auto"/>
              <w:bottom w:val="single" w:sz="6" w:space="0" w:color="auto"/>
              <w:right w:val="single" w:sz="6" w:space="0" w:color="auto"/>
            </w:tcBorders>
            <w:hideMark/>
          </w:tcPr>
          <w:p w14:paraId="3316CDF4" w14:textId="77777777" w:rsidR="000C1E0E" w:rsidRDefault="000C1E0E" w:rsidP="0098752B">
            <w:pPr>
              <w:spacing w:line="240" w:lineRule="auto"/>
              <w:jc w:val="center"/>
              <w:rPr>
                <w:sz w:val="24"/>
                <w:szCs w:val="24"/>
              </w:rPr>
            </w:pPr>
            <w:r>
              <w:rPr>
                <w:sz w:val="24"/>
                <w:szCs w:val="24"/>
              </w:rPr>
              <w:t>от 12% до 16%</w:t>
            </w:r>
          </w:p>
        </w:tc>
        <w:tc>
          <w:tcPr>
            <w:tcW w:w="1179" w:type="dxa"/>
            <w:tcBorders>
              <w:top w:val="single" w:sz="6" w:space="0" w:color="auto"/>
              <w:left w:val="single" w:sz="6" w:space="0" w:color="auto"/>
              <w:bottom w:val="single" w:sz="6" w:space="0" w:color="auto"/>
              <w:right w:val="single" w:sz="12" w:space="0" w:color="auto"/>
            </w:tcBorders>
            <w:vAlign w:val="center"/>
            <w:hideMark/>
          </w:tcPr>
          <w:p w14:paraId="0CE7C8CF" w14:textId="77777777" w:rsidR="000C1E0E" w:rsidRDefault="000C1E0E" w:rsidP="0098752B">
            <w:pPr>
              <w:spacing w:line="240" w:lineRule="auto"/>
              <w:jc w:val="center"/>
              <w:rPr>
                <w:sz w:val="24"/>
                <w:szCs w:val="24"/>
              </w:rPr>
            </w:pPr>
            <w:r>
              <w:rPr>
                <w:sz w:val="24"/>
                <w:szCs w:val="24"/>
              </w:rPr>
              <w:t>60</w:t>
            </w:r>
          </w:p>
        </w:tc>
      </w:tr>
      <w:tr w:rsidR="000C1E0E" w14:paraId="75259CA1" w14:textId="77777777" w:rsidTr="0098752B">
        <w:trPr>
          <w:trHeight w:val="180"/>
          <w:jc w:val="center"/>
        </w:trPr>
        <w:tc>
          <w:tcPr>
            <w:tcW w:w="0" w:type="auto"/>
            <w:vMerge/>
            <w:tcBorders>
              <w:top w:val="single" w:sz="12" w:space="0" w:color="auto"/>
              <w:left w:val="single" w:sz="12" w:space="0" w:color="auto"/>
              <w:bottom w:val="single" w:sz="12" w:space="0" w:color="auto"/>
              <w:right w:val="single" w:sz="6" w:space="0" w:color="auto"/>
            </w:tcBorders>
            <w:vAlign w:val="center"/>
            <w:hideMark/>
          </w:tcPr>
          <w:p w14:paraId="70B1B65F" w14:textId="77777777" w:rsidR="000C1E0E" w:rsidRDefault="000C1E0E" w:rsidP="0098752B">
            <w:pPr>
              <w:spacing w:line="240" w:lineRule="auto"/>
              <w:jc w:val="left"/>
              <w:rPr>
                <w:sz w:val="24"/>
                <w:szCs w:val="24"/>
              </w:rPr>
            </w:pPr>
          </w:p>
        </w:tc>
        <w:tc>
          <w:tcPr>
            <w:tcW w:w="0" w:type="auto"/>
            <w:vMerge/>
            <w:tcBorders>
              <w:top w:val="single" w:sz="12" w:space="0" w:color="auto"/>
              <w:left w:val="single" w:sz="6" w:space="0" w:color="auto"/>
              <w:bottom w:val="single" w:sz="12" w:space="0" w:color="auto"/>
              <w:right w:val="single" w:sz="6" w:space="0" w:color="auto"/>
            </w:tcBorders>
            <w:vAlign w:val="center"/>
            <w:hideMark/>
          </w:tcPr>
          <w:p w14:paraId="6CAE3CD1" w14:textId="77777777" w:rsidR="000C1E0E" w:rsidRDefault="000C1E0E" w:rsidP="0098752B">
            <w:pPr>
              <w:spacing w:line="240" w:lineRule="auto"/>
              <w:jc w:val="left"/>
              <w:rPr>
                <w:sz w:val="24"/>
                <w:szCs w:val="24"/>
              </w:rPr>
            </w:pPr>
          </w:p>
        </w:tc>
        <w:tc>
          <w:tcPr>
            <w:tcW w:w="0" w:type="auto"/>
            <w:vMerge/>
            <w:tcBorders>
              <w:top w:val="single" w:sz="12" w:space="0" w:color="auto"/>
              <w:left w:val="single" w:sz="6" w:space="0" w:color="auto"/>
              <w:bottom w:val="single" w:sz="12" w:space="0" w:color="auto"/>
              <w:right w:val="single" w:sz="6" w:space="0" w:color="auto"/>
            </w:tcBorders>
            <w:vAlign w:val="center"/>
            <w:hideMark/>
          </w:tcPr>
          <w:p w14:paraId="736003C0" w14:textId="77777777" w:rsidR="000C1E0E" w:rsidRDefault="000C1E0E" w:rsidP="0098752B">
            <w:pPr>
              <w:spacing w:line="240" w:lineRule="auto"/>
              <w:jc w:val="left"/>
              <w:rPr>
                <w:sz w:val="24"/>
                <w:szCs w:val="24"/>
              </w:rPr>
            </w:pPr>
          </w:p>
        </w:tc>
        <w:tc>
          <w:tcPr>
            <w:tcW w:w="1843" w:type="dxa"/>
            <w:tcBorders>
              <w:top w:val="single" w:sz="6" w:space="0" w:color="auto"/>
              <w:left w:val="single" w:sz="6" w:space="0" w:color="auto"/>
              <w:bottom w:val="single" w:sz="6" w:space="0" w:color="auto"/>
              <w:right w:val="single" w:sz="6" w:space="0" w:color="auto"/>
            </w:tcBorders>
            <w:hideMark/>
          </w:tcPr>
          <w:p w14:paraId="457CD742" w14:textId="77777777" w:rsidR="000C1E0E" w:rsidRDefault="000C1E0E" w:rsidP="0098752B">
            <w:pPr>
              <w:spacing w:line="240" w:lineRule="auto"/>
              <w:jc w:val="center"/>
              <w:rPr>
                <w:sz w:val="24"/>
                <w:szCs w:val="24"/>
              </w:rPr>
            </w:pPr>
            <w:r>
              <w:rPr>
                <w:sz w:val="24"/>
                <w:szCs w:val="24"/>
              </w:rPr>
              <w:t>от 8% до 12%</w:t>
            </w:r>
          </w:p>
        </w:tc>
        <w:tc>
          <w:tcPr>
            <w:tcW w:w="1179" w:type="dxa"/>
            <w:tcBorders>
              <w:top w:val="single" w:sz="6" w:space="0" w:color="auto"/>
              <w:left w:val="single" w:sz="6" w:space="0" w:color="auto"/>
              <w:bottom w:val="single" w:sz="6" w:space="0" w:color="auto"/>
              <w:right w:val="single" w:sz="12" w:space="0" w:color="auto"/>
            </w:tcBorders>
            <w:vAlign w:val="center"/>
            <w:hideMark/>
          </w:tcPr>
          <w:p w14:paraId="615AD837" w14:textId="77777777" w:rsidR="000C1E0E" w:rsidRDefault="000C1E0E" w:rsidP="0098752B">
            <w:pPr>
              <w:spacing w:line="240" w:lineRule="auto"/>
              <w:jc w:val="center"/>
              <w:rPr>
                <w:sz w:val="24"/>
                <w:szCs w:val="24"/>
              </w:rPr>
            </w:pPr>
            <w:r>
              <w:rPr>
                <w:sz w:val="24"/>
                <w:szCs w:val="24"/>
              </w:rPr>
              <w:t>40</w:t>
            </w:r>
          </w:p>
        </w:tc>
      </w:tr>
      <w:tr w:rsidR="000C1E0E" w14:paraId="6EEFE588" w14:textId="77777777" w:rsidTr="0098752B">
        <w:trPr>
          <w:trHeight w:val="180"/>
          <w:jc w:val="center"/>
        </w:trPr>
        <w:tc>
          <w:tcPr>
            <w:tcW w:w="0" w:type="auto"/>
            <w:vMerge/>
            <w:tcBorders>
              <w:top w:val="single" w:sz="12" w:space="0" w:color="auto"/>
              <w:left w:val="single" w:sz="12" w:space="0" w:color="auto"/>
              <w:bottom w:val="single" w:sz="12" w:space="0" w:color="auto"/>
              <w:right w:val="single" w:sz="6" w:space="0" w:color="auto"/>
            </w:tcBorders>
            <w:vAlign w:val="center"/>
            <w:hideMark/>
          </w:tcPr>
          <w:p w14:paraId="3EF6C6D9" w14:textId="77777777" w:rsidR="000C1E0E" w:rsidRDefault="000C1E0E" w:rsidP="0098752B">
            <w:pPr>
              <w:spacing w:line="240" w:lineRule="auto"/>
              <w:jc w:val="left"/>
              <w:rPr>
                <w:sz w:val="24"/>
                <w:szCs w:val="24"/>
              </w:rPr>
            </w:pPr>
          </w:p>
        </w:tc>
        <w:tc>
          <w:tcPr>
            <w:tcW w:w="0" w:type="auto"/>
            <w:vMerge/>
            <w:tcBorders>
              <w:top w:val="single" w:sz="12" w:space="0" w:color="auto"/>
              <w:left w:val="single" w:sz="6" w:space="0" w:color="auto"/>
              <w:bottom w:val="single" w:sz="12" w:space="0" w:color="auto"/>
              <w:right w:val="single" w:sz="6" w:space="0" w:color="auto"/>
            </w:tcBorders>
            <w:vAlign w:val="center"/>
            <w:hideMark/>
          </w:tcPr>
          <w:p w14:paraId="1C373E23" w14:textId="77777777" w:rsidR="000C1E0E" w:rsidRDefault="000C1E0E" w:rsidP="0098752B">
            <w:pPr>
              <w:spacing w:line="240" w:lineRule="auto"/>
              <w:jc w:val="left"/>
              <w:rPr>
                <w:sz w:val="24"/>
                <w:szCs w:val="24"/>
              </w:rPr>
            </w:pPr>
          </w:p>
        </w:tc>
        <w:tc>
          <w:tcPr>
            <w:tcW w:w="0" w:type="auto"/>
            <w:vMerge/>
            <w:tcBorders>
              <w:top w:val="single" w:sz="12" w:space="0" w:color="auto"/>
              <w:left w:val="single" w:sz="6" w:space="0" w:color="auto"/>
              <w:bottom w:val="single" w:sz="12" w:space="0" w:color="auto"/>
              <w:right w:val="single" w:sz="6" w:space="0" w:color="auto"/>
            </w:tcBorders>
            <w:vAlign w:val="center"/>
            <w:hideMark/>
          </w:tcPr>
          <w:p w14:paraId="0E578D40" w14:textId="77777777" w:rsidR="000C1E0E" w:rsidRDefault="000C1E0E" w:rsidP="0098752B">
            <w:pPr>
              <w:spacing w:line="240" w:lineRule="auto"/>
              <w:jc w:val="left"/>
              <w:rPr>
                <w:sz w:val="24"/>
                <w:szCs w:val="24"/>
              </w:rPr>
            </w:pPr>
          </w:p>
        </w:tc>
        <w:tc>
          <w:tcPr>
            <w:tcW w:w="1843" w:type="dxa"/>
            <w:tcBorders>
              <w:top w:val="single" w:sz="6" w:space="0" w:color="auto"/>
              <w:left w:val="single" w:sz="6" w:space="0" w:color="auto"/>
              <w:bottom w:val="single" w:sz="6" w:space="0" w:color="auto"/>
              <w:right w:val="single" w:sz="6" w:space="0" w:color="auto"/>
            </w:tcBorders>
            <w:hideMark/>
          </w:tcPr>
          <w:p w14:paraId="4FD27D22" w14:textId="77777777" w:rsidR="000C1E0E" w:rsidRDefault="000C1E0E" w:rsidP="0098752B">
            <w:pPr>
              <w:spacing w:line="240" w:lineRule="auto"/>
              <w:jc w:val="center"/>
              <w:rPr>
                <w:sz w:val="24"/>
                <w:szCs w:val="24"/>
              </w:rPr>
            </w:pPr>
            <w:r>
              <w:rPr>
                <w:sz w:val="24"/>
                <w:szCs w:val="24"/>
              </w:rPr>
              <w:t>от 4% до 8%</w:t>
            </w:r>
          </w:p>
        </w:tc>
        <w:tc>
          <w:tcPr>
            <w:tcW w:w="1179" w:type="dxa"/>
            <w:tcBorders>
              <w:top w:val="single" w:sz="6" w:space="0" w:color="auto"/>
              <w:left w:val="single" w:sz="6" w:space="0" w:color="auto"/>
              <w:bottom w:val="single" w:sz="6" w:space="0" w:color="auto"/>
              <w:right w:val="single" w:sz="12" w:space="0" w:color="auto"/>
            </w:tcBorders>
            <w:vAlign w:val="center"/>
            <w:hideMark/>
          </w:tcPr>
          <w:p w14:paraId="5917539F" w14:textId="77777777" w:rsidR="000C1E0E" w:rsidRDefault="000C1E0E" w:rsidP="0098752B">
            <w:pPr>
              <w:spacing w:line="240" w:lineRule="auto"/>
              <w:jc w:val="center"/>
              <w:rPr>
                <w:sz w:val="24"/>
                <w:szCs w:val="24"/>
              </w:rPr>
            </w:pPr>
            <w:r>
              <w:rPr>
                <w:sz w:val="24"/>
                <w:szCs w:val="24"/>
              </w:rPr>
              <w:t>20</w:t>
            </w:r>
          </w:p>
        </w:tc>
      </w:tr>
      <w:tr w:rsidR="000C1E0E" w14:paraId="324F8E31" w14:textId="77777777" w:rsidTr="0098752B">
        <w:trPr>
          <w:trHeight w:val="180"/>
          <w:jc w:val="center"/>
        </w:trPr>
        <w:tc>
          <w:tcPr>
            <w:tcW w:w="0" w:type="auto"/>
            <w:vMerge/>
            <w:tcBorders>
              <w:top w:val="single" w:sz="12" w:space="0" w:color="auto"/>
              <w:left w:val="single" w:sz="12" w:space="0" w:color="auto"/>
              <w:bottom w:val="single" w:sz="12" w:space="0" w:color="auto"/>
              <w:right w:val="single" w:sz="6" w:space="0" w:color="auto"/>
            </w:tcBorders>
            <w:vAlign w:val="center"/>
            <w:hideMark/>
          </w:tcPr>
          <w:p w14:paraId="04458C65" w14:textId="77777777" w:rsidR="000C1E0E" w:rsidRDefault="000C1E0E" w:rsidP="0098752B">
            <w:pPr>
              <w:spacing w:line="240" w:lineRule="auto"/>
              <w:jc w:val="left"/>
              <w:rPr>
                <w:sz w:val="24"/>
                <w:szCs w:val="24"/>
              </w:rPr>
            </w:pPr>
          </w:p>
        </w:tc>
        <w:tc>
          <w:tcPr>
            <w:tcW w:w="0" w:type="auto"/>
            <w:vMerge/>
            <w:tcBorders>
              <w:top w:val="single" w:sz="12" w:space="0" w:color="auto"/>
              <w:left w:val="single" w:sz="6" w:space="0" w:color="auto"/>
              <w:bottom w:val="single" w:sz="12" w:space="0" w:color="auto"/>
              <w:right w:val="single" w:sz="6" w:space="0" w:color="auto"/>
            </w:tcBorders>
            <w:vAlign w:val="center"/>
            <w:hideMark/>
          </w:tcPr>
          <w:p w14:paraId="7B27A713" w14:textId="77777777" w:rsidR="000C1E0E" w:rsidRDefault="000C1E0E" w:rsidP="0098752B">
            <w:pPr>
              <w:spacing w:line="240" w:lineRule="auto"/>
              <w:jc w:val="left"/>
              <w:rPr>
                <w:sz w:val="24"/>
                <w:szCs w:val="24"/>
              </w:rPr>
            </w:pPr>
          </w:p>
        </w:tc>
        <w:tc>
          <w:tcPr>
            <w:tcW w:w="0" w:type="auto"/>
            <w:vMerge/>
            <w:tcBorders>
              <w:top w:val="single" w:sz="12" w:space="0" w:color="auto"/>
              <w:left w:val="single" w:sz="6" w:space="0" w:color="auto"/>
              <w:bottom w:val="single" w:sz="12" w:space="0" w:color="auto"/>
              <w:right w:val="single" w:sz="6" w:space="0" w:color="auto"/>
            </w:tcBorders>
            <w:vAlign w:val="center"/>
            <w:hideMark/>
          </w:tcPr>
          <w:p w14:paraId="3B41806F" w14:textId="77777777" w:rsidR="000C1E0E" w:rsidRDefault="000C1E0E" w:rsidP="0098752B">
            <w:pPr>
              <w:spacing w:line="240" w:lineRule="auto"/>
              <w:jc w:val="left"/>
              <w:rPr>
                <w:sz w:val="24"/>
                <w:szCs w:val="24"/>
              </w:rPr>
            </w:pPr>
          </w:p>
        </w:tc>
        <w:tc>
          <w:tcPr>
            <w:tcW w:w="1843" w:type="dxa"/>
            <w:tcBorders>
              <w:top w:val="single" w:sz="6" w:space="0" w:color="auto"/>
              <w:left w:val="single" w:sz="6" w:space="0" w:color="auto"/>
              <w:bottom w:val="single" w:sz="12" w:space="0" w:color="auto"/>
              <w:right w:val="single" w:sz="6" w:space="0" w:color="auto"/>
            </w:tcBorders>
            <w:hideMark/>
          </w:tcPr>
          <w:p w14:paraId="5AE8F7D1" w14:textId="77777777" w:rsidR="000C1E0E" w:rsidRDefault="000C1E0E" w:rsidP="0098752B">
            <w:pPr>
              <w:spacing w:line="240" w:lineRule="auto"/>
              <w:jc w:val="center"/>
              <w:rPr>
                <w:sz w:val="24"/>
                <w:szCs w:val="24"/>
              </w:rPr>
            </w:pPr>
            <w:r>
              <w:rPr>
                <w:sz w:val="24"/>
                <w:szCs w:val="24"/>
              </w:rPr>
              <w:t>меньше 4%</w:t>
            </w:r>
          </w:p>
        </w:tc>
        <w:tc>
          <w:tcPr>
            <w:tcW w:w="1179" w:type="dxa"/>
            <w:tcBorders>
              <w:top w:val="single" w:sz="6" w:space="0" w:color="auto"/>
              <w:left w:val="single" w:sz="6" w:space="0" w:color="auto"/>
              <w:bottom w:val="single" w:sz="12" w:space="0" w:color="auto"/>
              <w:right w:val="single" w:sz="12" w:space="0" w:color="auto"/>
            </w:tcBorders>
            <w:vAlign w:val="center"/>
            <w:hideMark/>
          </w:tcPr>
          <w:p w14:paraId="3677F06E" w14:textId="77777777" w:rsidR="000C1E0E" w:rsidRDefault="000C1E0E" w:rsidP="0098752B">
            <w:pPr>
              <w:spacing w:line="240" w:lineRule="auto"/>
              <w:jc w:val="center"/>
              <w:rPr>
                <w:sz w:val="24"/>
                <w:szCs w:val="24"/>
              </w:rPr>
            </w:pPr>
            <w:r>
              <w:rPr>
                <w:sz w:val="24"/>
                <w:szCs w:val="24"/>
              </w:rPr>
              <w:t>0</w:t>
            </w:r>
          </w:p>
        </w:tc>
      </w:tr>
      <w:tr w:rsidR="000C1E0E" w14:paraId="6AE2BA90" w14:textId="77777777" w:rsidTr="0098752B">
        <w:trPr>
          <w:trHeight w:val="270"/>
          <w:jc w:val="center"/>
        </w:trPr>
        <w:tc>
          <w:tcPr>
            <w:tcW w:w="2599" w:type="dxa"/>
            <w:vMerge w:val="restart"/>
            <w:tcBorders>
              <w:top w:val="single" w:sz="12" w:space="0" w:color="auto"/>
              <w:left w:val="single" w:sz="12" w:space="0" w:color="auto"/>
              <w:bottom w:val="single" w:sz="12" w:space="0" w:color="auto"/>
              <w:right w:val="single" w:sz="6" w:space="0" w:color="auto"/>
            </w:tcBorders>
            <w:vAlign w:val="center"/>
            <w:hideMark/>
          </w:tcPr>
          <w:p w14:paraId="310ECCA9" w14:textId="77777777" w:rsidR="000C1E0E" w:rsidRDefault="000C1E0E" w:rsidP="0098752B">
            <w:pPr>
              <w:spacing w:line="240" w:lineRule="auto"/>
              <w:jc w:val="center"/>
              <w:rPr>
                <w:sz w:val="24"/>
                <w:szCs w:val="24"/>
              </w:rPr>
            </w:pPr>
            <w:r>
              <w:rPr>
                <w:sz w:val="24"/>
                <w:szCs w:val="24"/>
              </w:rPr>
              <w:t>Рентабельность капитала</w:t>
            </w:r>
          </w:p>
        </w:tc>
        <w:tc>
          <w:tcPr>
            <w:tcW w:w="2938" w:type="dxa"/>
            <w:vMerge w:val="restart"/>
            <w:tcBorders>
              <w:top w:val="single" w:sz="12" w:space="0" w:color="auto"/>
              <w:left w:val="single" w:sz="6" w:space="0" w:color="auto"/>
              <w:bottom w:val="single" w:sz="12" w:space="0" w:color="auto"/>
              <w:right w:val="single" w:sz="6" w:space="0" w:color="auto"/>
            </w:tcBorders>
            <w:vAlign w:val="center"/>
            <w:hideMark/>
          </w:tcPr>
          <w:p w14:paraId="1FCE4796" w14:textId="77777777" w:rsidR="000C1E0E" w:rsidRDefault="000C1E0E" w:rsidP="0098752B">
            <w:pPr>
              <w:spacing w:line="240" w:lineRule="auto"/>
              <w:jc w:val="center"/>
              <w:rPr>
                <w:sz w:val="24"/>
                <w:szCs w:val="24"/>
              </w:rPr>
            </w:pPr>
            <w:r>
              <w:rPr>
                <w:sz w:val="24"/>
                <w:szCs w:val="24"/>
              </w:rPr>
              <w:t>[Чистая прибыль за год] / [Среднеарифметическая сумма собственного капитала на начало и конец отчётного периода]</w:t>
            </w:r>
          </w:p>
        </w:tc>
        <w:tc>
          <w:tcPr>
            <w:tcW w:w="889" w:type="dxa"/>
            <w:vMerge w:val="restart"/>
            <w:tcBorders>
              <w:top w:val="single" w:sz="12" w:space="0" w:color="auto"/>
              <w:left w:val="single" w:sz="6" w:space="0" w:color="auto"/>
              <w:bottom w:val="single" w:sz="12" w:space="0" w:color="auto"/>
              <w:right w:val="single" w:sz="6" w:space="0" w:color="auto"/>
            </w:tcBorders>
            <w:vAlign w:val="center"/>
            <w:hideMark/>
          </w:tcPr>
          <w:p w14:paraId="479D1750" w14:textId="77777777" w:rsidR="000C1E0E" w:rsidRDefault="000C1E0E" w:rsidP="0098752B">
            <w:pPr>
              <w:spacing w:line="240" w:lineRule="auto"/>
              <w:jc w:val="center"/>
              <w:rPr>
                <w:sz w:val="24"/>
                <w:szCs w:val="24"/>
              </w:rPr>
            </w:pPr>
            <w:r>
              <w:rPr>
                <w:sz w:val="24"/>
                <w:szCs w:val="24"/>
              </w:rPr>
              <w:t>20%</w:t>
            </w:r>
          </w:p>
        </w:tc>
        <w:tc>
          <w:tcPr>
            <w:tcW w:w="1843" w:type="dxa"/>
            <w:tcBorders>
              <w:top w:val="single" w:sz="12" w:space="0" w:color="auto"/>
              <w:left w:val="single" w:sz="6" w:space="0" w:color="auto"/>
              <w:bottom w:val="single" w:sz="6" w:space="0" w:color="auto"/>
              <w:right w:val="single" w:sz="6" w:space="0" w:color="auto"/>
            </w:tcBorders>
            <w:hideMark/>
          </w:tcPr>
          <w:p w14:paraId="70943F63" w14:textId="77777777" w:rsidR="000C1E0E" w:rsidRDefault="000C1E0E" w:rsidP="0098752B">
            <w:pPr>
              <w:spacing w:line="240" w:lineRule="auto"/>
              <w:jc w:val="center"/>
              <w:rPr>
                <w:sz w:val="24"/>
                <w:szCs w:val="24"/>
              </w:rPr>
            </w:pPr>
            <w:r>
              <w:rPr>
                <w:sz w:val="24"/>
                <w:szCs w:val="24"/>
              </w:rPr>
              <w:t>выше 20%</w:t>
            </w:r>
          </w:p>
        </w:tc>
        <w:tc>
          <w:tcPr>
            <w:tcW w:w="1179" w:type="dxa"/>
            <w:tcBorders>
              <w:top w:val="single" w:sz="12" w:space="0" w:color="auto"/>
              <w:left w:val="single" w:sz="6" w:space="0" w:color="auto"/>
              <w:bottom w:val="single" w:sz="6" w:space="0" w:color="auto"/>
              <w:right w:val="single" w:sz="12" w:space="0" w:color="auto"/>
            </w:tcBorders>
            <w:vAlign w:val="center"/>
            <w:hideMark/>
          </w:tcPr>
          <w:p w14:paraId="0250A551" w14:textId="77777777" w:rsidR="000C1E0E" w:rsidRDefault="000C1E0E" w:rsidP="0098752B">
            <w:pPr>
              <w:spacing w:line="240" w:lineRule="auto"/>
              <w:jc w:val="center"/>
              <w:rPr>
                <w:sz w:val="24"/>
                <w:szCs w:val="24"/>
              </w:rPr>
            </w:pPr>
            <w:r>
              <w:rPr>
                <w:sz w:val="24"/>
                <w:szCs w:val="24"/>
              </w:rPr>
              <w:t>100</w:t>
            </w:r>
          </w:p>
        </w:tc>
      </w:tr>
      <w:tr w:rsidR="000C1E0E" w14:paraId="253B113A" w14:textId="77777777" w:rsidTr="0098752B">
        <w:trPr>
          <w:trHeight w:val="267"/>
          <w:jc w:val="center"/>
        </w:trPr>
        <w:tc>
          <w:tcPr>
            <w:tcW w:w="0" w:type="auto"/>
            <w:vMerge/>
            <w:tcBorders>
              <w:top w:val="single" w:sz="12" w:space="0" w:color="auto"/>
              <w:left w:val="single" w:sz="12" w:space="0" w:color="auto"/>
              <w:bottom w:val="single" w:sz="12" w:space="0" w:color="auto"/>
              <w:right w:val="single" w:sz="6" w:space="0" w:color="auto"/>
            </w:tcBorders>
            <w:vAlign w:val="center"/>
            <w:hideMark/>
          </w:tcPr>
          <w:p w14:paraId="171C119D" w14:textId="77777777" w:rsidR="000C1E0E" w:rsidRDefault="000C1E0E" w:rsidP="0098752B">
            <w:pPr>
              <w:spacing w:line="240" w:lineRule="auto"/>
              <w:jc w:val="left"/>
              <w:rPr>
                <w:sz w:val="24"/>
                <w:szCs w:val="24"/>
              </w:rPr>
            </w:pPr>
          </w:p>
        </w:tc>
        <w:tc>
          <w:tcPr>
            <w:tcW w:w="0" w:type="auto"/>
            <w:vMerge/>
            <w:tcBorders>
              <w:top w:val="single" w:sz="12" w:space="0" w:color="auto"/>
              <w:left w:val="single" w:sz="6" w:space="0" w:color="auto"/>
              <w:bottom w:val="single" w:sz="12" w:space="0" w:color="auto"/>
              <w:right w:val="single" w:sz="6" w:space="0" w:color="auto"/>
            </w:tcBorders>
            <w:vAlign w:val="center"/>
            <w:hideMark/>
          </w:tcPr>
          <w:p w14:paraId="2ADC82A3" w14:textId="77777777" w:rsidR="000C1E0E" w:rsidRDefault="000C1E0E" w:rsidP="0098752B">
            <w:pPr>
              <w:spacing w:line="240" w:lineRule="auto"/>
              <w:jc w:val="left"/>
              <w:rPr>
                <w:sz w:val="24"/>
                <w:szCs w:val="24"/>
              </w:rPr>
            </w:pPr>
          </w:p>
        </w:tc>
        <w:tc>
          <w:tcPr>
            <w:tcW w:w="0" w:type="auto"/>
            <w:vMerge/>
            <w:tcBorders>
              <w:top w:val="single" w:sz="12" w:space="0" w:color="auto"/>
              <w:left w:val="single" w:sz="6" w:space="0" w:color="auto"/>
              <w:bottom w:val="single" w:sz="12" w:space="0" w:color="auto"/>
              <w:right w:val="single" w:sz="6" w:space="0" w:color="auto"/>
            </w:tcBorders>
            <w:vAlign w:val="center"/>
            <w:hideMark/>
          </w:tcPr>
          <w:p w14:paraId="688C6F72" w14:textId="77777777" w:rsidR="000C1E0E" w:rsidRDefault="000C1E0E" w:rsidP="0098752B">
            <w:pPr>
              <w:spacing w:line="240" w:lineRule="auto"/>
              <w:jc w:val="left"/>
              <w:rPr>
                <w:sz w:val="24"/>
                <w:szCs w:val="24"/>
              </w:rPr>
            </w:pPr>
          </w:p>
        </w:tc>
        <w:tc>
          <w:tcPr>
            <w:tcW w:w="1843" w:type="dxa"/>
            <w:tcBorders>
              <w:top w:val="single" w:sz="6" w:space="0" w:color="auto"/>
              <w:left w:val="single" w:sz="6" w:space="0" w:color="auto"/>
              <w:bottom w:val="single" w:sz="6" w:space="0" w:color="auto"/>
              <w:right w:val="single" w:sz="6" w:space="0" w:color="auto"/>
            </w:tcBorders>
            <w:hideMark/>
          </w:tcPr>
          <w:p w14:paraId="6E9C4626" w14:textId="77777777" w:rsidR="000C1E0E" w:rsidRDefault="000C1E0E" w:rsidP="0098752B">
            <w:pPr>
              <w:spacing w:line="240" w:lineRule="auto"/>
              <w:jc w:val="center"/>
              <w:rPr>
                <w:sz w:val="24"/>
                <w:szCs w:val="24"/>
              </w:rPr>
            </w:pPr>
            <w:r>
              <w:rPr>
                <w:sz w:val="24"/>
                <w:szCs w:val="24"/>
              </w:rPr>
              <w:t>от 15% до 20%</w:t>
            </w:r>
          </w:p>
        </w:tc>
        <w:tc>
          <w:tcPr>
            <w:tcW w:w="1179" w:type="dxa"/>
            <w:tcBorders>
              <w:top w:val="single" w:sz="6" w:space="0" w:color="auto"/>
              <w:left w:val="single" w:sz="6" w:space="0" w:color="auto"/>
              <w:bottom w:val="single" w:sz="6" w:space="0" w:color="auto"/>
              <w:right w:val="single" w:sz="12" w:space="0" w:color="auto"/>
            </w:tcBorders>
            <w:vAlign w:val="center"/>
            <w:hideMark/>
          </w:tcPr>
          <w:p w14:paraId="7C3C028F" w14:textId="77777777" w:rsidR="000C1E0E" w:rsidRDefault="000C1E0E" w:rsidP="0098752B">
            <w:pPr>
              <w:spacing w:line="240" w:lineRule="auto"/>
              <w:jc w:val="center"/>
              <w:rPr>
                <w:sz w:val="24"/>
                <w:szCs w:val="24"/>
              </w:rPr>
            </w:pPr>
            <w:r>
              <w:rPr>
                <w:sz w:val="24"/>
                <w:szCs w:val="24"/>
              </w:rPr>
              <w:t>80</w:t>
            </w:r>
          </w:p>
        </w:tc>
      </w:tr>
      <w:tr w:rsidR="000C1E0E" w14:paraId="791537B2" w14:textId="77777777" w:rsidTr="0098752B">
        <w:trPr>
          <w:trHeight w:val="267"/>
          <w:jc w:val="center"/>
        </w:trPr>
        <w:tc>
          <w:tcPr>
            <w:tcW w:w="0" w:type="auto"/>
            <w:vMerge/>
            <w:tcBorders>
              <w:top w:val="single" w:sz="12" w:space="0" w:color="auto"/>
              <w:left w:val="single" w:sz="12" w:space="0" w:color="auto"/>
              <w:bottom w:val="single" w:sz="12" w:space="0" w:color="auto"/>
              <w:right w:val="single" w:sz="6" w:space="0" w:color="auto"/>
            </w:tcBorders>
            <w:vAlign w:val="center"/>
            <w:hideMark/>
          </w:tcPr>
          <w:p w14:paraId="6610997D" w14:textId="77777777" w:rsidR="000C1E0E" w:rsidRDefault="000C1E0E" w:rsidP="0098752B">
            <w:pPr>
              <w:spacing w:line="240" w:lineRule="auto"/>
              <w:jc w:val="left"/>
              <w:rPr>
                <w:sz w:val="24"/>
                <w:szCs w:val="24"/>
              </w:rPr>
            </w:pPr>
          </w:p>
        </w:tc>
        <w:tc>
          <w:tcPr>
            <w:tcW w:w="0" w:type="auto"/>
            <w:vMerge/>
            <w:tcBorders>
              <w:top w:val="single" w:sz="12" w:space="0" w:color="auto"/>
              <w:left w:val="single" w:sz="6" w:space="0" w:color="auto"/>
              <w:bottom w:val="single" w:sz="12" w:space="0" w:color="auto"/>
              <w:right w:val="single" w:sz="6" w:space="0" w:color="auto"/>
            </w:tcBorders>
            <w:vAlign w:val="center"/>
            <w:hideMark/>
          </w:tcPr>
          <w:p w14:paraId="25DD2BD3" w14:textId="77777777" w:rsidR="000C1E0E" w:rsidRDefault="000C1E0E" w:rsidP="0098752B">
            <w:pPr>
              <w:spacing w:line="240" w:lineRule="auto"/>
              <w:jc w:val="left"/>
              <w:rPr>
                <w:sz w:val="24"/>
                <w:szCs w:val="24"/>
              </w:rPr>
            </w:pPr>
          </w:p>
        </w:tc>
        <w:tc>
          <w:tcPr>
            <w:tcW w:w="0" w:type="auto"/>
            <w:vMerge/>
            <w:tcBorders>
              <w:top w:val="single" w:sz="12" w:space="0" w:color="auto"/>
              <w:left w:val="single" w:sz="6" w:space="0" w:color="auto"/>
              <w:bottom w:val="single" w:sz="12" w:space="0" w:color="auto"/>
              <w:right w:val="single" w:sz="6" w:space="0" w:color="auto"/>
            </w:tcBorders>
            <w:vAlign w:val="center"/>
            <w:hideMark/>
          </w:tcPr>
          <w:p w14:paraId="30E70835" w14:textId="77777777" w:rsidR="000C1E0E" w:rsidRDefault="000C1E0E" w:rsidP="0098752B">
            <w:pPr>
              <w:spacing w:line="240" w:lineRule="auto"/>
              <w:jc w:val="left"/>
              <w:rPr>
                <w:sz w:val="24"/>
                <w:szCs w:val="24"/>
              </w:rPr>
            </w:pPr>
          </w:p>
        </w:tc>
        <w:tc>
          <w:tcPr>
            <w:tcW w:w="1843" w:type="dxa"/>
            <w:tcBorders>
              <w:top w:val="single" w:sz="6" w:space="0" w:color="auto"/>
              <w:left w:val="single" w:sz="6" w:space="0" w:color="auto"/>
              <w:bottom w:val="single" w:sz="6" w:space="0" w:color="auto"/>
              <w:right w:val="single" w:sz="6" w:space="0" w:color="auto"/>
            </w:tcBorders>
            <w:hideMark/>
          </w:tcPr>
          <w:p w14:paraId="2A32A8D4" w14:textId="77777777" w:rsidR="000C1E0E" w:rsidRDefault="000C1E0E" w:rsidP="0098752B">
            <w:pPr>
              <w:spacing w:line="240" w:lineRule="auto"/>
              <w:jc w:val="center"/>
              <w:rPr>
                <w:sz w:val="24"/>
                <w:szCs w:val="24"/>
              </w:rPr>
            </w:pPr>
            <w:r>
              <w:rPr>
                <w:sz w:val="24"/>
                <w:szCs w:val="24"/>
              </w:rPr>
              <w:t>от 10% до 15%</w:t>
            </w:r>
          </w:p>
        </w:tc>
        <w:tc>
          <w:tcPr>
            <w:tcW w:w="1179" w:type="dxa"/>
            <w:tcBorders>
              <w:top w:val="single" w:sz="6" w:space="0" w:color="auto"/>
              <w:left w:val="single" w:sz="6" w:space="0" w:color="auto"/>
              <w:bottom w:val="single" w:sz="6" w:space="0" w:color="auto"/>
              <w:right w:val="single" w:sz="12" w:space="0" w:color="auto"/>
            </w:tcBorders>
            <w:vAlign w:val="center"/>
            <w:hideMark/>
          </w:tcPr>
          <w:p w14:paraId="7483A31B" w14:textId="77777777" w:rsidR="000C1E0E" w:rsidRDefault="000C1E0E" w:rsidP="0098752B">
            <w:pPr>
              <w:spacing w:line="240" w:lineRule="auto"/>
              <w:jc w:val="center"/>
              <w:rPr>
                <w:sz w:val="24"/>
                <w:szCs w:val="24"/>
              </w:rPr>
            </w:pPr>
            <w:r>
              <w:rPr>
                <w:sz w:val="24"/>
                <w:szCs w:val="24"/>
              </w:rPr>
              <w:t>60</w:t>
            </w:r>
          </w:p>
        </w:tc>
      </w:tr>
      <w:tr w:rsidR="000C1E0E" w14:paraId="674B8395" w14:textId="77777777" w:rsidTr="0098752B">
        <w:trPr>
          <w:trHeight w:val="267"/>
          <w:jc w:val="center"/>
        </w:trPr>
        <w:tc>
          <w:tcPr>
            <w:tcW w:w="0" w:type="auto"/>
            <w:vMerge/>
            <w:tcBorders>
              <w:top w:val="single" w:sz="12" w:space="0" w:color="auto"/>
              <w:left w:val="single" w:sz="12" w:space="0" w:color="auto"/>
              <w:bottom w:val="single" w:sz="12" w:space="0" w:color="auto"/>
              <w:right w:val="single" w:sz="6" w:space="0" w:color="auto"/>
            </w:tcBorders>
            <w:vAlign w:val="center"/>
            <w:hideMark/>
          </w:tcPr>
          <w:p w14:paraId="3E068F4A" w14:textId="77777777" w:rsidR="000C1E0E" w:rsidRDefault="000C1E0E" w:rsidP="0098752B">
            <w:pPr>
              <w:spacing w:line="240" w:lineRule="auto"/>
              <w:jc w:val="left"/>
              <w:rPr>
                <w:sz w:val="24"/>
                <w:szCs w:val="24"/>
              </w:rPr>
            </w:pPr>
          </w:p>
        </w:tc>
        <w:tc>
          <w:tcPr>
            <w:tcW w:w="0" w:type="auto"/>
            <w:vMerge/>
            <w:tcBorders>
              <w:top w:val="single" w:sz="12" w:space="0" w:color="auto"/>
              <w:left w:val="single" w:sz="6" w:space="0" w:color="auto"/>
              <w:bottom w:val="single" w:sz="12" w:space="0" w:color="auto"/>
              <w:right w:val="single" w:sz="6" w:space="0" w:color="auto"/>
            </w:tcBorders>
            <w:vAlign w:val="center"/>
            <w:hideMark/>
          </w:tcPr>
          <w:p w14:paraId="1CB3EBD1" w14:textId="77777777" w:rsidR="000C1E0E" w:rsidRDefault="000C1E0E" w:rsidP="0098752B">
            <w:pPr>
              <w:spacing w:line="240" w:lineRule="auto"/>
              <w:jc w:val="left"/>
              <w:rPr>
                <w:sz w:val="24"/>
                <w:szCs w:val="24"/>
              </w:rPr>
            </w:pPr>
          </w:p>
        </w:tc>
        <w:tc>
          <w:tcPr>
            <w:tcW w:w="0" w:type="auto"/>
            <w:vMerge/>
            <w:tcBorders>
              <w:top w:val="single" w:sz="12" w:space="0" w:color="auto"/>
              <w:left w:val="single" w:sz="6" w:space="0" w:color="auto"/>
              <w:bottom w:val="single" w:sz="12" w:space="0" w:color="auto"/>
              <w:right w:val="single" w:sz="6" w:space="0" w:color="auto"/>
            </w:tcBorders>
            <w:vAlign w:val="center"/>
            <w:hideMark/>
          </w:tcPr>
          <w:p w14:paraId="3D6A73EA" w14:textId="77777777" w:rsidR="000C1E0E" w:rsidRDefault="000C1E0E" w:rsidP="0098752B">
            <w:pPr>
              <w:spacing w:line="240" w:lineRule="auto"/>
              <w:jc w:val="left"/>
              <w:rPr>
                <w:sz w:val="24"/>
                <w:szCs w:val="24"/>
              </w:rPr>
            </w:pPr>
          </w:p>
        </w:tc>
        <w:tc>
          <w:tcPr>
            <w:tcW w:w="1843" w:type="dxa"/>
            <w:tcBorders>
              <w:top w:val="single" w:sz="6" w:space="0" w:color="auto"/>
              <w:left w:val="single" w:sz="6" w:space="0" w:color="auto"/>
              <w:bottom w:val="single" w:sz="6" w:space="0" w:color="auto"/>
              <w:right w:val="single" w:sz="6" w:space="0" w:color="auto"/>
            </w:tcBorders>
            <w:hideMark/>
          </w:tcPr>
          <w:p w14:paraId="37ED9A52" w14:textId="77777777" w:rsidR="000C1E0E" w:rsidRDefault="000C1E0E" w:rsidP="0098752B">
            <w:pPr>
              <w:spacing w:line="240" w:lineRule="auto"/>
              <w:jc w:val="center"/>
              <w:rPr>
                <w:sz w:val="24"/>
                <w:szCs w:val="24"/>
              </w:rPr>
            </w:pPr>
            <w:r>
              <w:rPr>
                <w:sz w:val="24"/>
                <w:szCs w:val="24"/>
              </w:rPr>
              <w:t>от 5% до 10%</w:t>
            </w:r>
          </w:p>
        </w:tc>
        <w:tc>
          <w:tcPr>
            <w:tcW w:w="1179" w:type="dxa"/>
            <w:tcBorders>
              <w:top w:val="single" w:sz="6" w:space="0" w:color="auto"/>
              <w:left w:val="single" w:sz="6" w:space="0" w:color="auto"/>
              <w:bottom w:val="single" w:sz="6" w:space="0" w:color="auto"/>
              <w:right w:val="single" w:sz="12" w:space="0" w:color="auto"/>
            </w:tcBorders>
            <w:vAlign w:val="center"/>
            <w:hideMark/>
          </w:tcPr>
          <w:p w14:paraId="31460C1D" w14:textId="77777777" w:rsidR="000C1E0E" w:rsidRDefault="000C1E0E" w:rsidP="0098752B">
            <w:pPr>
              <w:spacing w:line="240" w:lineRule="auto"/>
              <w:jc w:val="center"/>
              <w:rPr>
                <w:sz w:val="24"/>
                <w:szCs w:val="24"/>
              </w:rPr>
            </w:pPr>
            <w:r>
              <w:rPr>
                <w:sz w:val="24"/>
                <w:szCs w:val="24"/>
              </w:rPr>
              <w:t>40</w:t>
            </w:r>
          </w:p>
        </w:tc>
      </w:tr>
      <w:tr w:rsidR="000C1E0E" w14:paraId="6215D961" w14:textId="77777777" w:rsidTr="0098752B">
        <w:trPr>
          <w:trHeight w:val="267"/>
          <w:jc w:val="center"/>
        </w:trPr>
        <w:tc>
          <w:tcPr>
            <w:tcW w:w="0" w:type="auto"/>
            <w:vMerge/>
            <w:tcBorders>
              <w:top w:val="single" w:sz="12" w:space="0" w:color="auto"/>
              <w:left w:val="single" w:sz="12" w:space="0" w:color="auto"/>
              <w:bottom w:val="single" w:sz="12" w:space="0" w:color="auto"/>
              <w:right w:val="single" w:sz="6" w:space="0" w:color="auto"/>
            </w:tcBorders>
            <w:vAlign w:val="center"/>
            <w:hideMark/>
          </w:tcPr>
          <w:p w14:paraId="5703DD2B" w14:textId="77777777" w:rsidR="000C1E0E" w:rsidRDefault="000C1E0E" w:rsidP="0098752B">
            <w:pPr>
              <w:spacing w:line="240" w:lineRule="auto"/>
              <w:jc w:val="left"/>
              <w:rPr>
                <w:sz w:val="24"/>
                <w:szCs w:val="24"/>
              </w:rPr>
            </w:pPr>
          </w:p>
        </w:tc>
        <w:tc>
          <w:tcPr>
            <w:tcW w:w="0" w:type="auto"/>
            <w:vMerge/>
            <w:tcBorders>
              <w:top w:val="single" w:sz="12" w:space="0" w:color="auto"/>
              <w:left w:val="single" w:sz="6" w:space="0" w:color="auto"/>
              <w:bottom w:val="single" w:sz="12" w:space="0" w:color="auto"/>
              <w:right w:val="single" w:sz="6" w:space="0" w:color="auto"/>
            </w:tcBorders>
            <w:vAlign w:val="center"/>
            <w:hideMark/>
          </w:tcPr>
          <w:p w14:paraId="4A48A5FE" w14:textId="77777777" w:rsidR="000C1E0E" w:rsidRDefault="000C1E0E" w:rsidP="0098752B">
            <w:pPr>
              <w:spacing w:line="240" w:lineRule="auto"/>
              <w:jc w:val="left"/>
              <w:rPr>
                <w:sz w:val="24"/>
                <w:szCs w:val="24"/>
              </w:rPr>
            </w:pPr>
          </w:p>
        </w:tc>
        <w:tc>
          <w:tcPr>
            <w:tcW w:w="0" w:type="auto"/>
            <w:vMerge/>
            <w:tcBorders>
              <w:top w:val="single" w:sz="12" w:space="0" w:color="auto"/>
              <w:left w:val="single" w:sz="6" w:space="0" w:color="auto"/>
              <w:bottom w:val="single" w:sz="12" w:space="0" w:color="auto"/>
              <w:right w:val="single" w:sz="6" w:space="0" w:color="auto"/>
            </w:tcBorders>
            <w:vAlign w:val="center"/>
            <w:hideMark/>
          </w:tcPr>
          <w:p w14:paraId="6014E646" w14:textId="77777777" w:rsidR="000C1E0E" w:rsidRDefault="000C1E0E" w:rsidP="0098752B">
            <w:pPr>
              <w:spacing w:line="240" w:lineRule="auto"/>
              <w:jc w:val="left"/>
              <w:rPr>
                <w:sz w:val="24"/>
                <w:szCs w:val="24"/>
              </w:rPr>
            </w:pPr>
          </w:p>
        </w:tc>
        <w:tc>
          <w:tcPr>
            <w:tcW w:w="1843" w:type="dxa"/>
            <w:tcBorders>
              <w:top w:val="single" w:sz="6" w:space="0" w:color="auto"/>
              <w:left w:val="single" w:sz="6" w:space="0" w:color="auto"/>
              <w:bottom w:val="single" w:sz="6" w:space="0" w:color="auto"/>
              <w:right w:val="single" w:sz="6" w:space="0" w:color="auto"/>
            </w:tcBorders>
            <w:hideMark/>
          </w:tcPr>
          <w:p w14:paraId="1CD305F1" w14:textId="77777777" w:rsidR="000C1E0E" w:rsidRDefault="000C1E0E" w:rsidP="0098752B">
            <w:pPr>
              <w:spacing w:line="240" w:lineRule="auto"/>
              <w:jc w:val="center"/>
              <w:rPr>
                <w:sz w:val="24"/>
                <w:szCs w:val="24"/>
              </w:rPr>
            </w:pPr>
            <w:r>
              <w:rPr>
                <w:sz w:val="24"/>
                <w:szCs w:val="24"/>
              </w:rPr>
              <w:t>от 0% до 5%</w:t>
            </w:r>
          </w:p>
        </w:tc>
        <w:tc>
          <w:tcPr>
            <w:tcW w:w="1179" w:type="dxa"/>
            <w:tcBorders>
              <w:top w:val="single" w:sz="6" w:space="0" w:color="auto"/>
              <w:left w:val="single" w:sz="6" w:space="0" w:color="auto"/>
              <w:bottom w:val="single" w:sz="6" w:space="0" w:color="auto"/>
              <w:right w:val="single" w:sz="12" w:space="0" w:color="auto"/>
            </w:tcBorders>
            <w:vAlign w:val="center"/>
            <w:hideMark/>
          </w:tcPr>
          <w:p w14:paraId="6697A15A" w14:textId="77777777" w:rsidR="000C1E0E" w:rsidRDefault="000C1E0E" w:rsidP="0098752B">
            <w:pPr>
              <w:spacing w:line="240" w:lineRule="auto"/>
              <w:jc w:val="center"/>
              <w:rPr>
                <w:sz w:val="24"/>
                <w:szCs w:val="24"/>
              </w:rPr>
            </w:pPr>
            <w:r>
              <w:rPr>
                <w:sz w:val="24"/>
                <w:szCs w:val="24"/>
              </w:rPr>
              <w:t>20</w:t>
            </w:r>
          </w:p>
        </w:tc>
      </w:tr>
      <w:tr w:rsidR="000C1E0E" w14:paraId="119FDCE1" w14:textId="77777777" w:rsidTr="0098752B">
        <w:trPr>
          <w:trHeight w:val="267"/>
          <w:jc w:val="center"/>
        </w:trPr>
        <w:tc>
          <w:tcPr>
            <w:tcW w:w="0" w:type="auto"/>
            <w:vMerge/>
            <w:tcBorders>
              <w:top w:val="single" w:sz="12" w:space="0" w:color="auto"/>
              <w:left w:val="single" w:sz="12" w:space="0" w:color="auto"/>
              <w:bottom w:val="single" w:sz="12" w:space="0" w:color="auto"/>
              <w:right w:val="single" w:sz="6" w:space="0" w:color="auto"/>
            </w:tcBorders>
            <w:vAlign w:val="center"/>
            <w:hideMark/>
          </w:tcPr>
          <w:p w14:paraId="7B41365A" w14:textId="77777777" w:rsidR="000C1E0E" w:rsidRDefault="000C1E0E" w:rsidP="0098752B">
            <w:pPr>
              <w:spacing w:line="240" w:lineRule="auto"/>
              <w:jc w:val="left"/>
              <w:rPr>
                <w:sz w:val="24"/>
                <w:szCs w:val="24"/>
              </w:rPr>
            </w:pPr>
          </w:p>
        </w:tc>
        <w:tc>
          <w:tcPr>
            <w:tcW w:w="0" w:type="auto"/>
            <w:vMerge/>
            <w:tcBorders>
              <w:top w:val="single" w:sz="12" w:space="0" w:color="auto"/>
              <w:left w:val="single" w:sz="6" w:space="0" w:color="auto"/>
              <w:bottom w:val="single" w:sz="12" w:space="0" w:color="auto"/>
              <w:right w:val="single" w:sz="6" w:space="0" w:color="auto"/>
            </w:tcBorders>
            <w:vAlign w:val="center"/>
            <w:hideMark/>
          </w:tcPr>
          <w:p w14:paraId="0FCF0BEA" w14:textId="77777777" w:rsidR="000C1E0E" w:rsidRDefault="000C1E0E" w:rsidP="0098752B">
            <w:pPr>
              <w:spacing w:line="240" w:lineRule="auto"/>
              <w:jc w:val="left"/>
              <w:rPr>
                <w:sz w:val="24"/>
                <w:szCs w:val="24"/>
              </w:rPr>
            </w:pPr>
          </w:p>
        </w:tc>
        <w:tc>
          <w:tcPr>
            <w:tcW w:w="0" w:type="auto"/>
            <w:vMerge/>
            <w:tcBorders>
              <w:top w:val="single" w:sz="12" w:space="0" w:color="auto"/>
              <w:left w:val="single" w:sz="6" w:space="0" w:color="auto"/>
              <w:bottom w:val="single" w:sz="12" w:space="0" w:color="auto"/>
              <w:right w:val="single" w:sz="6" w:space="0" w:color="auto"/>
            </w:tcBorders>
            <w:vAlign w:val="center"/>
            <w:hideMark/>
          </w:tcPr>
          <w:p w14:paraId="1508D52B" w14:textId="77777777" w:rsidR="000C1E0E" w:rsidRDefault="000C1E0E" w:rsidP="0098752B">
            <w:pPr>
              <w:spacing w:line="240" w:lineRule="auto"/>
              <w:jc w:val="left"/>
              <w:rPr>
                <w:sz w:val="24"/>
                <w:szCs w:val="24"/>
              </w:rPr>
            </w:pPr>
          </w:p>
        </w:tc>
        <w:tc>
          <w:tcPr>
            <w:tcW w:w="1843" w:type="dxa"/>
            <w:tcBorders>
              <w:top w:val="single" w:sz="6" w:space="0" w:color="auto"/>
              <w:left w:val="single" w:sz="6" w:space="0" w:color="auto"/>
              <w:bottom w:val="single" w:sz="12" w:space="0" w:color="auto"/>
              <w:right w:val="single" w:sz="6" w:space="0" w:color="auto"/>
            </w:tcBorders>
            <w:hideMark/>
          </w:tcPr>
          <w:p w14:paraId="0EE69F33" w14:textId="77777777" w:rsidR="000C1E0E" w:rsidRDefault="000C1E0E" w:rsidP="0098752B">
            <w:pPr>
              <w:spacing w:line="240" w:lineRule="auto"/>
              <w:jc w:val="center"/>
              <w:rPr>
                <w:sz w:val="24"/>
                <w:szCs w:val="24"/>
              </w:rPr>
            </w:pPr>
            <w:r>
              <w:rPr>
                <w:sz w:val="24"/>
                <w:szCs w:val="24"/>
              </w:rPr>
              <w:t>меньше 0%</w:t>
            </w:r>
          </w:p>
        </w:tc>
        <w:tc>
          <w:tcPr>
            <w:tcW w:w="1179" w:type="dxa"/>
            <w:tcBorders>
              <w:top w:val="single" w:sz="6" w:space="0" w:color="auto"/>
              <w:left w:val="single" w:sz="6" w:space="0" w:color="auto"/>
              <w:bottom w:val="single" w:sz="12" w:space="0" w:color="auto"/>
              <w:right w:val="single" w:sz="12" w:space="0" w:color="auto"/>
            </w:tcBorders>
            <w:vAlign w:val="center"/>
            <w:hideMark/>
          </w:tcPr>
          <w:p w14:paraId="4076336E" w14:textId="77777777" w:rsidR="000C1E0E" w:rsidRDefault="000C1E0E" w:rsidP="0098752B">
            <w:pPr>
              <w:spacing w:line="240" w:lineRule="auto"/>
              <w:jc w:val="center"/>
              <w:rPr>
                <w:sz w:val="24"/>
                <w:szCs w:val="24"/>
              </w:rPr>
            </w:pPr>
            <w:r>
              <w:rPr>
                <w:sz w:val="24"/>
                <w:szCs w:val="24"/>
              </w:rPr>
              <w:t>0</w:t>
            </w:r>
          </w:p>
        </w:tc>
      </w:tr>
      <w:tr w:rsidR="000C1E0E" w14:paraId="556BE86B" w14:textId="77777777" w:rsidTr="0098752B">
        <w:trPr>
          <w:trHeight w:val="135"/>
          <w:jc w:val="center"/>
        </w:trPr>
        <w:tc>
          <w:tcPr>
            <w:tcW w:w="2599" w:type="dxa"/>
            <w:vMerge w:val="restart"/>
            <w:tcBorders>
              <w:top w:val="single" w:sz="12" w:space="0" w:color="auto"/>
              <w:left w:val="single" w:sz="12" w:space="0" w:color="auto"/>
              <w:bottom w:val="single" w:sz="12" w:space="0" w:color="auto"/>
              <w:right w:val="single" w:sz="4" w:space="0" w:color="auto"/>
            </w:tcBorders>
            <w:vAlign w:val="center"/>
            <w:hideMark/>
          </w:tcPr>
          <w:p w14:paraId="3CE95604" w14:textId="77777777" w:rsidR="000C1E0E" w:rsidRDefault="000C1E0E" w:rsidP="0098752B">
            <w:pPr>
              <w:spacing w:line="240" w:lineRule="auto"/>
              <w:jc w:val="center"/>
              <w:rPr>
                <w:sz w:val="24"/>
                <w:szCs w:val="24"/>
              </w:rPr>
            </w:pPr>
            <w:r>
              <w:rPr>
                <w:sz w:val="24"/>
                <w:szCs w:val="24"/>
              </w:rPr>
              <w:t>Рентабельность активов</w:t>
            </w:r>
          </w:p>
        </w:tc>
        <w:tc>
          <w:tcPr>
            <w:tcW w:w="2938" w:type="dxa"/>
            <w:vMerge w:val="restart"/>
            <w:tcBorders>
              <w:top w:val="single" w:sz="12" w:space="0" w:color="auto"/>
              <w:left w:val="single" w:sz="4" w:space="0" w:color="auto"/>
              <w:bottom w:val="single" w:sz="12" w:space="0" w:color="auto"/>
              <w:right w:val="single" w:sz="4" w:space="0" w:color="auto"/>
            </w:tcBorders>
            <w:vAlign w:val="center"/>
            <w:hideMark/>
          </w:tcPr>
          <w:p w14:paraId="5E95ACB8" w14:textId="77777777" w:rsidR="000C1E0E" w:rsidRDefault="000C1E0E" w:rsidP="0098752B">
            <w:pPr>
              <w:spacing w:line="240" w:lineRule="auto"/>
              <w:jc w:val="center"/>
              <w:rPr>
                <w:sz w:val="24"/>
                <w:szCs w:val="24"/>
              </w:rPr>
            </w:pPr>
            <w:r>
              <w:rPr>
                <w:sz w:val="24"/>
                <w:szCs w:val="24"/>
              </w:rPr>
              <w:t>[Чистая прибыль за год] / [Среднеарифметическая сумма активов на начало и конец отчётного периода]</w:t>
            </w:r>
          </w:p>
        </w:tc>
        <w:tc>
          <w:tcPr>
            <w:tcW w:w="889" w:type="dxa"/>
            <w:vMerge w:val="restart"/>
            <w:tcBorders>
              <w:top w:val="single" w:sz="12" w:space="0" w:color="auto"/>
              <w:left w:val="single" w:sz="4" w:space="0" w:color="auto"/>
              <w:bottom w:val="single" w:sz="12" w:space="0" w:color="auto"/>
              <w:right w:val="single" w:sz="4" w:space="0" w:color="auto"/>
            </w:tcBorders>
            <w:vAlign w:val="center"/>
            <w:hideMark/>
          </w:tcPr>
          <w:p w14:paraId="2F1003CF" w14:textId="77777777" w:rsidR="000C1E0E" w:rsidRDefault="000C1E0E" w:rsidP="0098752B">
            <w:pPr>
              <w:spacing w:line="240" w:lineRule="auto"/>
              <w:jc w:val="center"/>
              <w:rPr>
                <w:sz w:val="24"/>
                <w:szCs w:val="24"/>
              </w:rPr>
            </w:pPr>
            <w:r>
              <w:rPr>
                <w:sz w:val="24"/>
                <w:szCs w:val="24"/>
              </w:rPr>
              <w:t>20%</w:t>
            </w:r>
          </w:p>
        </w:tc>
        <w:tc>
          <w:tcPr>
            <w:tcW w:w="1843" w:type="dxa"/>
            <w:tcBorders>
              <w:top w:val="single" w:sz="12" w:space="0" w:color="auto"/>
              <w:left w:val="single" w:sz="4" w:space="0" w:color="auto"/>
              <w:bottom w:val="single" w:sz="4" w:space="0" w:color="auto"/>
              <w:right w:val="single" w:sz="4" w:space="0" w:color="auto"/>
            </w:tcBorders>
            <w:hideMark/>
          </w:tcPr>
          <w:p w14:paraId="146EE46F" w14:textId="77777777" w:rsidR="000C1E0E" w:rsidRDefault="000C1E0E" w:rsidP="0098752B">
            <w:pPr>
              <w:spacing w:line="240" w:lineRule="auto"/>
              <w:jc w:val="center"/>
              <w:rPr>
                <w:sz w:val="24"/>
                <w:szCs w:val="24"/>
              </w:rPr>
            </w:pPr>
            <w:r>
              <w:rPr>
                <w:sz w:val="24"/>
                <w:szCs w:val="24"/>
              </w:rPr>
              <w:t>выше 4%</w:t>
            </w:r>
          </w:p>
        </w:tc>
        <w:tc>
          <w:tcPr>
            <w:tcW w:w="1179" w:type="dxa"/>
            <w:tcBorders>
              <w:top w:val="single" w:sz="12" w:space="0" w:color="auto"/>
              <w:left w:val="single" w:sz="4" w:space="0" w:color="auto"/>
              <w:bottom w:val="single" w:sz="4" w:space="0" w:color="auto"/>
              <w:right w:val="single" w:sz="12" w:space="0" w:color="auto"/>
            </w:tcBorders>
            <w:vAlign w:val="center"/>
            <w:hideMark/>
          </w:tcPr>
          <w:p w14:paraId="7D3E2DB1" w14:textId="77777777" w:rsidR="000C1E0E" w:rsidRDefault="000C1E0E" w:rsidP="0098752B">
            <w:pPr>
              <w:spacing w:line="240" w:lineRule="auto"/>
              <w:jc w:val="center"/>
              <w:rPr>
                <w:sz w:val="24"/>
                <w:szCs w:val="24"/>
              </w:rPr>
            </w:pPr>
            <w:r>
              <w:rPr>
                <w:sz w:val="24"/>
                <w:szCs w:val="24"/>
              </w:rPr>
              <w:t>100</w:t>
            </w:r>
          </w:p>
        </w:tc>
      </w:tr>
      <w:tr w:rsidR="000C1E0E" w14:paraId="499EFE39" w14:textId="77777777" w:rsidTr="0098752B">
        <w:trPr>
          <w:trHeight w:val="135"/>
          <w:jc w:val="center"/>
        </w:trPr>
        <w:tc>
          <w:tcPr>
            <w:tcW w:w="0" w:type="auto"/>
            <w:vMerge/>
            <w:tcBorders>
              <w:top w:val="single" w:sz="12" w:space="0" w:color="auto"/>
              <w:left w:val="single" w:sz="12" w:space="0" w:color="auto"/>
              <w:bottom w:val="single" w:sz="12" w:space="0" w:color="auto"/>
              <w:right w:val="single" w:sz="4" w:space="0" w:color="auto"/>
            </w:tcBorders>
            <w:vAlign w:val="center"/>
            <w:hideMark/>
          </w:tcPr>
          <w:p w14:paraId="27C03A26" w14:textId="77777777" w:rsidR="000C1E0E" w:rsidRDefault="000C1E0E" w:rsidP="0098752B">
            <w:pPr>
              <w:spacing w:line="240" w:lineRule="auto"/>
              <w:jc w:val="left"/>
              <w:rPr>
                <w:sz w:val="24"/>
                <w:szCs w:val="24"/>
              </w:rPr>
            </w:pPr>
          </w:p>
        </w:tc>
        <w:tc>
          <w:tcPr>
            <w:tcW w:w="0" w:type="auto"/>
            <w:vMerge/>
            <w:tcBorders>
              <w:top w:val="single" w:sz="12" w:space="0" w:color="auto"/>
              <w:left w:val="single" w:sz="4" w:space="0" w:color="auto"/>
              <w:bottom w:val="single" w:sz="12" w:space="0" w:color="auto"/>
              <w:right w:val="single" w:sz="4" w:space="0" w:color="auto"/>
            </w:tcBorders>
            <w:vAlign w:val="center"/>
            <w:hideMark/>
          </w:tcPr>
          <w:p w14:paraId="14837F27" w14:textId="77777777" w:rsidR="000C1E0E" w:rsidRDefault="000C1E0E" w:rsidP="0098752B">
            <w:pPr>
              <w:spacing w:line="240" w:lineRule="auto"/>
              <w:jc w:val="left"/>
              <w:rPr>
                <w:sz w:val="24"/>
                <w:szCs w:val="24"/>
              </w:rPr>
            </w:pPr>
          </w:p>
        </w:tc>
        <w:tc>
          <w:tcPr>
            <w:tcW w:w="0" w:type="auto"/>
            <w:vMerge/>
            <w:tcBorders>
              <w:top w:val="single" w:sz="12" w:space="0" w:color="auto"/>
              <w:left w:val="single" w:sz="4" w:space="0" w:color="auto"/>
              <w:bottom w:val="single" w:sz="12" w:space="0" w:color="auto"/>
              <w:right w:val="single" w:sz="4" w:space="0" w:color="auto"/>
            </w:tcBorders>
            <w:vAlign w:val="center"/>
            <w:hideMark/>
          </w:tcPr>
          <w:p w14:paraId="13B1A940" w14:textId="77777777" w:rsidR="000C1E0E" w:rsidRDefault="000C1E0E" w:rsidP="0098752B">
            <w:pPr>
              <w:spacing w:line="240" w:lineRule="auto"/>
              <w:jc w:val="left"/>
              <w:rPr>
                <w:sz w:val="24"/>
                <w:szCs w:val="24"/>
              </w:rPr>
            </w:pPr>
          </w:p>
        </w:tc>
        <w:tc>
          <w:tcPr>
            <w:tcW w:w="1843" w:type="dxa"/>
            <w:tcBorders>
              <w:top w:val="single" w:sz="4" w:space="0" w:color="auto"/>
              <w:left w:val="single" w:sz="4" w:space="0" w:color="auto"/>
              <w:bottom w:val="single" w:sz="4" w:space="0" w:color="auto"/>
              <w:right w:val="single" w:sz="4" w:space="0" w:color="auto"/>
            </w:tcBorders>
            <w:hideMark/>
          </w:tcPr>
          <w:p w14:paraId="21B6CAED" w14:textId="77777777" w:rsidR="000C1E0E" w:rsidRDefault="000C1E0E" w:rsidP="0098752B">
            <w:pPr>
              <w:spacing w:line="240" w:lineRule="auto"/>
              <w:jc w:val="center"/>
              <w:rPr>
                <w:sz w:val="24"/>
                <w:szCs w:val="24"/>
              </w:rPr>
            </w:pPr>
            <w:r>
              <w:rPr>
                <w:sz w:val="24"/>
                <w:szCs w:val="24"/>
              </w:rPr>
              <w:t>от 3% до 4%</w:t>
            </w:r>
          </w:p>
        </w:tc>
        <w:tc>
          <w:tcPr>
            <w:tcW w:w="1179" w:type="dxa"/>
            <w:tcBorders>
              <w:top w:val="single" w:sz="4" w:space="0" w:color="auto"/>
              <w:left w:val="single" w:sz="4" w:space="0" w:color="auto"/>
              <w:bottom w:val="single" w:sz="4" w:space="0" w:color="auto"/>
              <w:right w:val="single" w:sz="12" w:space="0" w:color="auto"/>
            </w:tcBorders>
            <w:vAlign w:val="center"/>
            <w:hideMark/>
          </w:tcPr>
          <w:p w14:paraId="7C93B54B" w14:textId="77777777" w:rsidR="000C1E0E" w:rsidRDefault="000C1E0E" w:rsidP="0098752B">
            <w:pPr>
              <w:spacing w:line="240" w:lineRule="auto"/>
              <w:jc w:val="center"/>
              <w:rPr>
                <w:sz w:val="24"/>
                <w:szCs w:val="24"/>
              </w:rPr>
            </w:pPr>
            <w:r>
              <w:rPr>
                <w:sz w:val="24"/>
                <w:szCs w:val="24"/>
              </w:rPr>
              <w:t>80</w:t>
            </w:r>
          </w:p>
        </w:tc>
      </w:tr>
      <w:tr w:rsidR="000C1E0E" w14:paraId="6F981116" w14:textId="77777777" w:rsidTr="0098752B">
        <w:trPr>
          <w:trHeight w:val="135"/>
          <w:jc w:val="center"/>
        </w:trPr>
        <w:tc>
          <w:tcPr>
            <w:tcW w:w="0" w:type="auto"/>
            <w:vMerge/>
            <w:tcBorders>
              <w:top w:val="single" w:sz="12" w:space="0" w:color="auto"/>
              <w:left w:val="single" w:sz="12" w:space="0" w:color="auto"/>
              <w:bottom w:val="single" w:sz="12" w:space="0" w:color="auto"/>
              <w:right w:val="single" w:sz="4" w:space="0" w:color="auto"/>
            </w:tcBorders>
            <w:vAlign w:val="center"/>
            <w:hideMark/>
          </w:tcPr>
          <w:p w14:paraId="738BB3D6" w14:textId="77777777" w:rsidR="000C1E0E" w:rsidRDefault="000C1E0E" w:rsidP="0098752B">
            <w:pPr>
              <w:spacing w:line="240" w:lineRule="auto"/>
              <w:jc w:val="left"/>
              <w:rPr>
                <w:sz w:val="24"/>
                <w:szCs w:val="24"/>
              </w:rPr>
            </w:pPr>
          </w:p>
        </w:tc>
        <w:tc>
          <w:tcPr>
            <w:tcW w:w="0" w:type="auto"/>
            <w:vMerge/>
            <w:tcBorders>
              <w:top w:val="single" w:sz="12" w:space="0" w:color="auto"/>
              <w:left w:val="single" w:sz="4" w:space="0" w:color="auto"/>
              <w:bottom w:val="single" w:sz="12" w:space="0" w:color="auto"/>
              <w:right w:val="single" w:sz="4" w:space="0" w:color="auto"/>
            </w:tcBorders>
            <w:vAlign w:val="center"/>
            <w:hideMark/>
          </w:tcPr>
          <w:p w14:paraId="517EFE7E" w14:textId="77777777" w:rsidR="000C1E0E" w:rsidRDefault="000C1E0E" w:rsidP="0098752B">
            <w:pPr>
              <w:spacing w:line="240" w:lineRule="auto"/>
              <w:jc w:val="left"/>
              <w:rPr>
                <w:sz w:val="24"/>
                <w:szCs w:val="24"/>
              </w:rPr>
            </w:pPr>
          </w:p>
        </w:tc>
        <w:tc>
          <w:tcPr>
            <w:tcW w:w="0" w:type="auto"/>
            <w:vMerge/>
            <w:tcBorders>
              <w:top w:val="single" w:sz="12" w:space="0" w:color="auto"/>
              <w:left w:val="single" w:sz="4" w:space="0" w:color="auto"/>
              <w:bottom w:val="single" w:sz="12" w:space="0" w:color="auto"/>
              <w:right w:val="single" w:sz="4" w:space="0" w:color="auto"/>
            </w:tcBorders>
            <w:vAlign w:val="center"/>
            <w:hideMark/>
          </w:tcPr>
          <w:p w14:paraId="0FF61B3E" w14:textId="77777777" w:rsidR="000C1E0E" w:rsidRDefault="000C1E0E" w:rsidP="0098752B">
            <w:pPr>
              <w:spacing w:line="240" w:lineRule="auto"/>
              <w:jc w:val="left"/>
              <w:rPr>
                <w:sz w:val="24"/>
                <w:szCs w:val="24"/>
              </w:rPr>
            </w:pPr>
          </w:p>
        </w:tc>
        <w:tc>
          <w:tcPr>
            <w:tcW w:w="1843" w:type="dxa"/>
            <w:tcBorders>
              <w:top w:val="single" w:sz="4" w:space="0" w:color="auto"/>
              <w:left w:val="single" w:sz="4" w:space="0" w:color="auto"/>
              <w:bottom w:val="single" w:sz="4" w:space="0" w:color="auto"/>
              <w:right w:val="single" w:sz="4" w:space="0" w:color="auto"/>
            </w:tcBorders>
            <w:hideMark/>
          </w:tcPr>
          <w:p w14:paraId="6F7FC97A" w14:textId="77777777" w:rsidR="000C1E0E" w:rsidRDefault="000C1E0E" w:rsidP="0098752B">
            <w:pPr>
              <w:spacing w:line="240" w:lineRule="auto"/>
              <w:jc w:val="center"/>
              <w:rPr>
                <w:sz w:val="24"/>
                <w:szCs w:val="24"/>
              </w:rPr>
            </w:pPr>
            <w:r>
              <w:rPr>
                <w:sz w:val="24"/>
                <w:szCs w:val="24"/>
              </w:rPr>
              <w:t>от 2% до 3%</w:t>
            </w:r>
          </w:p>
        </w:tc>
        <w:tc>
          <w:tcPr>
            <w:tcW w:w="1179" w:type="dxa"/>
            <w:tcBorders>
              <w:top w:val="single" w:sz="4" w:space="0" w:color="auto"/>
              <w:left w:val="single" w:sz="4" w:space="0" w:color="auto"/>
              <w:bottom w:val="single" w:sz="4" w:space="0" w:color="auto"/>
              <w:right w:val="single" w:sz="12" w:space="0" w:color="auto"/>
            </w:tcBorders>
            <w:vAlign w:val="center"/>
            <w:hideMark/>
          </w:tcPr>
          <w:p w14:paraId="146130C1" w14:textId="77777777" w:rsidR="000C1E0E" w:rsidRDefault="000C1E0E" w:rsidP="0098752B">
            <w:pPr>
              <w:spacing w:line="240" w:lineRule="auto"/>
              <w:jc w:val="center"/>
              <w:rPr>
                <w:sz w:val="24"/>
                <w:szCs w:val="24"/>
              </w:rPr>
            </w:pPr>
            <w:r>
              <w:rPr>
                <w:sz w:val="24"/>
                <w:szCs w:val="24"/>
              </w:rPr>
              <w:t>60</w:t>
            </w:r>
          </w:p>
        </w:tc>
      </w:tr>
      <w:tr w:rsidR="000C1E0E" w14:paraId="296C20F4" w14:textId="77777777" w:rsidTr="0098752B">
        <w:trPr>
          <w:jc w:val="center"/>
        </w:trPr>
        <w:tc>
          <w:tcPr>
            <w:tcW w:w="0" w:type="auto"/>
            <w:vMerge/>
            <w:tcBorders>
              <w:top w:val="single" w:sz="12" w:space="0" w:color="auto"/>
              <w:left w:val="single" w:sz="12" w:space="0" w:color="auto"/>
              <w:bottom w:val="single" w:sz="12" w:space="0" w:color="auto"/>
              <w:right w:val="single" w:sz="4" w:space="0" w:color="auto"/>
            </w:tcBorders>
            <w:vAlign w:val="center"/>
            <w:hideMark/>
          </w:tcPr>
          <w:p w14:paraId="37D462F1" w14:textId="77777777" w:rsidR="000C1E0E" w:rsidRDefault="000C1E0E" w:rsidP="0098752B">
            <w:pPr>
              <w:spacing w:line="240" w:lineRule="auto"/>
              <w:jc w:val="left"/>
              <w:rPr>
                <w:sz w:val="24"/>
                <w:szCs w:val="24"/>
              </w:rPr>
            </w:pPr>
          </w:p>
        </w:tc>
        <w:tc>
          <w:tcPr>
            <w:tcW w:w="0" w:type="auto"/>
            <w:vMerge/>
            <w:tcBorders>
              <w:top w:val="single" w:sz="12" w:space="0" w:color="auto"/>
              <w:left w:val="single" w:sz="4" w:space="0" w:color="auto"/>
              <w:bottom w:val="single" w:sz="12" w:space="0" w:color="auto"/>
              <w:right w:val="single" w:sz="4" w:space="0" w:color="auto"/>
            </w:tcBorders>
            <w:vAlign w:val="center"/>
            <w:hideMark/>
          </w:tcPr>
          <w:p w14:paraId="69E48B3E" w14:textId="77777777" w:rsidR="000C1E0E" w:rsidRDefault="000C1E0E" w:rsidP="0098752B">
            <w:pPr>
              <w:spacing w:line="240" w:lineRule="auto"/>
              <w:jc w:val="left"/>
              <w:rPr>
                <w:sz w:val="24"/>
                <w:szCs w:val="24"/>
              </w:rPr>
            </w:pPr>
          </w:p>
        </w:tc>
        <w:tc>
          <w:tcPr>
            <w:tcW w:w="0" w:type="auto"/>
            <w:vMerge/>
            <w:tcBorders>
              <w:top w:val="single" w:sz="12" w:space="0" w:color="auto"/>
              <w:left w:val="single" w:sz="4" w:space="0" w:color="auto"/>
              <w:bottom w:val="single" w:sz="12" w:space="0" w:color="auto"/>
              <w:right w:val="single" w:sz="4" w:space="0" w:color="auto"/>
            </w:tcBorders>
            <w:vAlign w:val="center"/>
            <w:hideMark/>
          </w:tcPr>
          <w:p w14:paraId="7FBEC59A" w14:textId="77777777" w:rsidR="000C1E0E" w:rsidRDefault="000C1E0E" w:rsidP="0098752B">
            <w:pPr>
              <w:spacing w:line="240" w:lineRule="auto"/>
              <w:jc w:val="left"/>
              <w:rPr>
                <w:sz w:val="24"/>
                <w:szCs w:val="24"/>
              </w:rPr>
            </w:pPr>
          </w:p>
        </w:tc>
        <w:tc>
          <w:tcPr>
            <w:tcW w:w="1843" w:type="dxa"/>
            <w:tcBorders>
              <w:top w:val="single" w:sz="4" w:space="0" w:color="auto"/>
              <w:left w:val="single" w:sz="4" w:space="0" w:color="auto"/>
              <w:bottom w:val="single" w:sz="4" w:space="0" w:color="auto"/>
              <w:right w:val="single" w:sz="4" w:space="0" w:color="auto"/>
            </w:tcBorders>
            <w:hideMark/>
          </w:tcPr>
          <w:p w14:paraId="54AF9D5B" w14:textId="77777777" w:rsidR="000C1E0E" w:rsidRDefault="000C1E0E" w:rsidP="0098752B">
            <w:pPr>
              <w:spacing w:line="240" w:lineRule="auto"/>
              <w:jc w:val="center"/>
              <w:rPr>
                <w:sz w:val="24"/>
                <w:szCs w:val="24"/>
              </w:rPr>
            </w:pPr>
            <w:r>
              <w:rPr>
                <w:sz w:val="24"/>
                <w:szCs w:val="24"/>
              </w:rPr>
              <w:t>от 1% до 2%</w:t>
            </w:r>
          </w:p>
        </w:tc>
        <w:tc>
          <w:tcPr>
            <w:tcW w:w="1179" w:type="dxa"/>
            <w:tcBorders>
              <w:top w:val="single" w:sz="4" w:space="0" w:color="auto"/>
              <w:left w:val="single" w:sz="4" w:space="0" w:color="auto"/>
              <w:bottom w:val="single" w:sz="4" w:space="0" w:color="auto"/>
              <w:right w:val="single" w:sz="12" w:space="0" w:color="auto"/>
            </w:tcBorders>
            <w:vAlign w:val="center"/>
            <w:hideMark/>
          </w:tcPr>
          <w:p w14:paraId="70348200" w14:textId="77777777" w:rsidR="000C1E0E" w:rsidRDefault="000C1E0E" w:rsidP="0098752B">
            <w:pPr>
              <w:spacing w:line="240" w:lineRule="auto"/>
              <w:jc w:val="center"/>
              <w:rPr>
                <w:sz w:val="24"/>
                <w:szCs w:val="24"/>
              </w:rPr>
            </w:pPr>
            <w:r>
              <w:rPr>
                <w:sz w:val="24"/>
                <w:szCs w:val="24"/>
              </w:rPr>
              <w:t>40</w:t>
            </w:r>
          </w:p>
        </w:tc>
      </w:tr>
      <w:tr w:rsidR="000C1E0E" w14:paraId="4D620345" w14:textId="77777777" w:rsidTr="0098752B">
        <w:trPr>
          <w:trHeight w:val="135"/>
          <w:jc w:val="center"/>
        </w:trPr>
        <w:tc>
          <w:tcPr>
            <w:tcW w:w="0" w:type="auto"/>
            <w:vMerge/>
            <w:tcBorders>
              <w:top w:val="single" w:sz="12" w:space="0" w:color="auto"/>
              <w:left w:val="single" w:sz="12" w:space="0" w:color="auto"/>
              <w:bottom w:val="single" w:sz="12" w:space="0" w:color="auto"/>
              <w:right w:val="single" w:sz="4" w:space="0" w:color="auto"/>
            </w:tcBorders>
            <w:vAlign w:val="center"/>
            <w:hideMark/>
          </w:tcPr>
          <w:p w14:paraId="3438FA25" w14:textId="77777777" w:rsidR="000C1E0E" w:rsidRDefault="000C1E0E" w:rsidP="0098752B">
            <w:pPr>
              <w:spacing w:line="240" w:lineRule="auto"/>
              <w:jc w:val="left"/>
              <w:rPr>
                <w:sz w:val="24"/>
                <w:szCs w:val="24"/>
              </w:rPr>
            </w:pPr>
          </w:p>
        </w:tc>
        <w:tc>
          <w:tcPr>
            <w:tcW w:w="0" w:type="auto"/>
            <w:vMerge/>
            <w:tcBorders>
              <w:top w:val="single" w:sz="12" w:space="0" w:color="auto"/>
              <w:left w:val="single" w:sz="4" w:space="0" w:color="auto"/>
              <w:bottom w:val="single" w:sz="12" w:space="0" w:color="auto"/>
              <w:right w:val="single" w:sz="4" w:space="0" w:color="auto"/>
            </w:tcBorders>
            <w:vAlign w:val="center"/>
            <w:hideMark/>
          </w:tcPr>
          <w:p w14:paraId="08E13E8D" w14:textId="77777777" w:rsidR="000C1E0E" w:rsidRDefault="000C1E0E" w:rsidP="0098752B">
            <w:pPr>
              <w:spacing w:line="240" w:lineRule="auto"/>
              <w:jc w:val="left"/>
              <w:rPr>
                <w:sz w:val="24"/>
                <w:szCs w:val="24"/>
              </w:rPr>
            </w:pPr>
          </w:p>
        </w:tc>
        <w:tc>
          <w:tcPr>
            <w:tcW w:w="0" w:type="auto"/>
            <w:vMerge/>
            <w:tcBorders>
              <w:top w:val="single" w:sz="12" w:space="0" w:color="auto"/>
              <w:left w:val="single" w:sz="4" w:space="0" w:color="auto"/>
              <w:bottom w:val="single" w:sz="12" w:space="0" w:color="auto"/>
              <w:right w:val="single" w:sz="4" w:space="0" w:color="auto"/>
            </w:tcBorders>
            <w:vAlign w:val="center"/>
            <w:hideMark/>
          </w:tcPr>
          <w:p w14:paraId="44296A49" w14:textId="77777777" w:rsidR="000C1E0E" w:rsidRDefault="000C1E0E" w:rsidP="0098752B">
            <w:pPr>
              <w:spacing w:line="240" w:lineRule="auto"/>
              <w:jc w:val="left"/>
              <w:rPr>
                <w:sz w:val="24"/>
                <w:szCs w:val="24"/>
              </w:rPr>
            </w:pPr>
          </w:p>
        </w:tc>
        <w:tc>
          <w:tcPr>
            <w:tcW w:w="1843" w:type="dxa"/>
            <w:tcBorders>
              <w:top w:val="single" w:sz="4" w:space="0" w:color="auto"/>
              <w:left w:val="single" w:sz="4" w:space="0" w:color="auto"/>
              <w:bottom w:val="single" w:sz="4" w:space="0" w:color="auto"/>
              <w:right w:val="single" w:sz="4" w:space="0" w:color="auto"/>
            </w:tcBorders>
            <w:hideMark/>
          </w:tcPr>
          <w:p w14:paraId="03DF3BCE" w14:textId="77777777" w:rsidR="000C1E0E" w:rsidRDefault="000C1E0E" w:rsidP="0098752B">
            <w:pPr>
              <w:spacing w:line="240" w:lineRule="auto"/>
              <w:jc w:val="center"/>
              <w:rPr>
                <w:sz w:val="24"/>
                <w:szCs w:val="24"/>
              </w:rPr>
            </w:pPr>
            <w:r>
              <w:rPr>
                <w:sz w:val="24"/>
                <w:szCs w:val="24"/>
              </w:rPr>
              <w:t>от 0% до 1%</w:t>
            </w:r>
          </w:p>
        </w:tc>
        <w:tc>
          <w:tcPr>
            <w:tcW w:w="1179" w:type="dxa"/>
            <w:tcBorders>
              <w:top w:val="single" w:sz="4" w:space="0" w:color="auto"/>
              <w:left w:val="single" w:sz="4" w:space="0" w:color="auto"/>
              <w:bottom w:val="single" w:sz="4" w:space="0" w:color="auto"/>
              <w:right w:val="single" w:sz="12" w:space="0" w:color="auto"/>
            </w:tcBorders>
            <w:vAlign w:val="center"/>
            <w:hideMark/>
          </w:tcPr>
          <w:p w14:paraId="2605F3AD" w14:textId="77777777" w:rsidR="000C1E0E" w:rsidRDefault="000C1E0E" w:rsidP="0098752B">
            <w:pPr>
              <w:spacing w:line="240" w:lineRule="auto"/>
              <w:jc w:val="center"/>
              <w:rPr>
                <w:sz w:val="24"/>
                <w:szCs w:val="24"/>
              </w:rPr>
            </w:pPr>
            <w:r>
              <w:rPr>
                <w:sz w:val="24"/>
                <w:szCs w:val="24"/>
              </w:rPr>
              <w:t>20</w:t>
            </w:r>
          </w:p>
        </w:tc>
      </w:tr>
      <w:tr w:rsidR="000C1E0E" w14:paraId="6DB108F6" w14:textId="77777777" w:rsidTr="0098752B">
        <w:trPr>
          <w:trHeight w:val="135"/>
          <w:jc w:val="center"/>
        </w:trPr>
        <w:tc>
          <w:tcPr>
            <w:tcW w:w="0" w:type="auto"/>
            <w:vMerge/>
            <w:tcBorders>
              <w:top w:val="single" w:sz="12" w:space="0" w:color="auto"/>
              <w:left w:val="single" w:sz="12" w:space="0" w:color="auto"/>
              <w:bottom w:val="single" w:sz="12" w:space="0" w:color="auto"/>
              <w:right w:val="single" w:sz="4" w:space="0" w:color="auto"/>
            </w:tcBorders>
            <w:vAlign w:val="center"/>
            <w:hideMark/>
          </w:tcPr>
          <w:p w14:paraId="44245C96" w14:textId="77777777" w:rsidR="000C1E0E" w:rsidRDefault="000C1E0E" w:rsidP="0098752B">
            <w:pPr>
              <w:spacing w:line="240" w:lineRule="auto"/>
              <w:jc w:val="left"/>
              <w:rPr>
                <w:sz w:val="24"/>
                <w:szCs w:val="24"/>
              </w:rPr>
            </w:pPr>
          </w:p>
        </w:tc>
        <w:tc>
          <w:tcPr>
            <w:tcW w:w="0" w:type="auto"/>
            <w:vMerge/>
            <w:tcBorders>
              <w:top w:val="single" w:sz="12" w:space="0" w:color="auto"/>
              <w:left w:val="single" w:sz="4" w:space="0" w:color="auto"/>
              <w:bottom w:val="single" w:sz="12" w:space="0" w:color="auto"/>
              <w:right w:val="single" w:sz="4" w:space="0" w:color="auto"/>
            </w:tcBorders>
            <w:vAlign w:val="center"/>
            <w:hideMark/>
          </w:tcPr>
          <w:p w14:paraId="4200BD42" w14:textId="77777777" w:rsidR="000C1E0E" w:rsidRDefault="000C1E0E" w:rsidP="0098752B">
            <w:pPr>
              <w:spacing w:line="240" w:lineRule="auto"/>
              <w:jc w:val="left"/>
              <w:rPr>
                <w:sz w:val="24"/>
                <w:szCs w:val="24"/>
              </w:rPr>
            </w:pPr>
          </w:p>
        </w:tc>
        <w:tc>
          <w:tcPr>
            <w:tcW w:w="0" w:type="auto"/>
            <w:vMerge/>
            <w:tcBorders>
              <w:top w:val="single" w:sz="12" w:space="0" w:color="auto"/>
              <w:left w:val="single" w:sz="4" w:space="0" w:color="auto"/>
              <w:bottom w:val="single" w:sz="12" w:space="0" w:color="auto"/>
              <w:right w:val="single" w:sz="4" w:space="0" w:color="auto"/>
            </w:tcBorders>
            <w:vAlign w:val="center"/>
            <w:hideMark/>
          </w:tcPr>
          <w:p w14:paraId="316973DB" w14:textId="77777777" w:rsidR="000C1E0E" w:rsidRDefault="000C1E0E" w:rsidP="0098752B">
            <w:pPr>
              <w:spacing w:line="240" w:lineRule="auto"/>
              <w:jc w:val="left"/>
              <w:rPr>
                <w:sz w:val="24"/>
                <w:szCs w:val="24"/>
              </w:rPr>
            </w:pPr>
          </w:p>
        </w:tc>
        <w:tc>
          <w:tcPr>
            <w:tcW w:w="1843" w:type="dxa"/>
            <w:tcBorders>
              <w:top w:val="single" w:sz="4" w:space="0" w:color="auto"/>
              <w:left w:val="single" w:sz="4" w:space="0" w:color="auto"/>
              <w:bottom w:val="single" w:sz="12" w:space="0" w:color="auto"/>
              <w:right w:val="single" w:sz="4" w:space="0" w:color="auto"/>
            </w:tcBorders>
            <w:hideMark/>
          </w:tcPr>
          <w:p w14:paraId="358E5B19" w14:textId="77777777" w:rsidR="000C1E0E" w:rsidRDefault="000C1E0E" w:rsidP="0098752B">
            <w:pPr>
              <w:spacing w:line="240" w:lineRule="auto"/>
              <w:jc w:val="center"/>
              <w:rPr>
                <w:sz w:val="24"/>
                <w:szCs w:val="24"/>
              </w:rPr>
            </w:pPr>
            <w:r>
              <w:rPr>
                <w:sz w:val="24"/>
                <w:szCs w:val="24"/>
              </w:rPr>
              <w:t>меньше 0%</w:t>
            </w:r>
          </w:p>
        </w:tc>
        <w:tc>
          <w:tcPr>
            <w:tcW w:w="1179" w:type="dxa"/>
            <w:tcBorders>
              <w:top w:val="single" w:sz="4" w:space="0" w:color="auto"/>
              <w:left w:val="single" w:sz="4" w:space="0" w:color="auto"/>
              <w:bottom w:val="single" w:sz="12" w:space="0" w:color="auto"/>
              <w:right w:val="single" w:sz="12" w:space="0" w:color="auto"/>
            </w:tcBorders>
            <w:vAlign w:val="center"/>
            <w:hideMark/>
          </w:tcPr>
          <w:p w14:paraId="31498CF3" w14:textId="77777777" w:rsidR="000C1E0E" w:rsidRDefault="000C1E0E" w:rsidP="0098752B">
            <w:pPr>
              <w:spacing w:line="240" w:lineRule="auto"/>
              <w:jc w:val="center"/>
              <w:rPr>
                <w:sz w:val="24"/>
                <w:szCs w:val="24"/>
              </w:rPr>
            </w:pPr>
            <w:r>
              <w:rPr>
                <w:sz w:val="24"/>
                <w:szCs w:val="24"/>
              </w:rPr>
              <w:t>0</w:t>
            </w:r>
          </w:p>
        </w:tc>
      </w:tr>
      <w:tr w:rsidR="000C1E0E" w14:paraId="5A6272D1" w14:textId="77777777" w:rsidTr="0098752B">
        <w:trPr>
          <w:trHeight w:val="135"/>
          <w:jc w:val="center"/>
        </w:trPr>
        <w:tc>
          <w:tcPr>
            <w:tcW w:w="2599" w:type="dxa"/>
            <w:vMerge w:val="restart"/>
            <w:tcBorders>
              <w:top w:val="single" w:sz="12" w:space="0" w:color="auto"/>
              <w:left w:val="single" w:sz="12" w:space="0" w:color="auto"/>
              <w:bottom w:val="single" w:sz="12" w:space="0" w:color="auto"/>
              <w:right w:val="single" w:sz="6" w:space="0" w:color="auto"/>
            </w:tcBorders>
            <w:vAlign w:val="center"/>
            <w:hideMark/>
          </w:tcPr>
          <w:p w14:paraId="3BB1B888" w14:textId="77777777" w:rsidR="000C1E0E" w:rsidRDefault="000C1E0E" w:rsidP="0098752B">
            <w:pPr>
              <w:spacing w:line="240" w:lineRule="auto"/>
              <w:jc w:val="center"/>
              <w:rPr>
                <w:sz w:val="24"/>
                <w:szCs w:val="24"/>
              </w:rPr>
            </w:pPr>
            <w:r>
              <w:rPr>
                <w:sz w:val="24"/>
                <w:szCs w:val="24"/>
              </w:rPr>
              <w:t>Изменение выручки</w:t>
            </w:r>
          </w:p>
        </w:tc>
        <w:tc>
          <w:tcPr>
            <w:tcW w:w="2938" w:type="dxa"/>
            <w:vMerge w:val="restart"/>
            <w:tcBorders>
              <w:top w:val="single" w:sz="12" w:space="0" w:color="auto"/>
              <w:left w:val="single" w:sz="6" w:space="0" w:color="auto"/>
              <w:bottom w:val="single" w:sz="12" w:space="0" w:color="auto"/>
              <w:right w:val="single" w:sz="6" w:space="0" w:color="auto"/>
            </w:tcBorders>
            <w:vAlign w:val="center"/>
            <w:hideMark/>
          </w:tcPr>
          <w:p w14:paraId="2C011A4A" w14:textId="77777777" w:rsidR="000C1E0E" w:rsidRDefault="000C1E0E" w:rsidP="0098752B">
            <w:pPr>
              <w:spacing w:line="240" w:lineRule="auto"/>
              <w:jc w:val="center"/>
              <w:rPr>
                <w:sz w:val="24"/>
                <w:szCs w:val="24"/>
              </w:rPr>
            </w:pPr>
            <w:r>
              <w:rPr>
                <w:sz w:val="24"/>
                <w:szCs w:val="24"/>
              </w:rPr>
              <w:t>[[Выручка за отчётный период] - [Выручка за предыдущий период]] / [Выручка за предыдущий период]</w:t>
            </w:r>
          </w:p>
        </w:tc>
        <w:tc>
          <w:tcPr>
            <w:tcW w:w="889" w:type="dxa"/>
            <w:vMerge w:val="restart"/>
            <w:tcBorders>
              <w:top w:val="single" w:sz="12" w:space="0" w:color="auto"/>
              <w:left w:val="single" w:sz="6" w:space="0" w:color="auto"/>
              <w:bottom w:val="single" w:sz="12" w:space="0" w:color="auto"/>
              <w:right w:val="single" w:sz="6" w:space="0" w:color="auto"/>
            </w:tcBorders>
            <w:vAlign w:val="center"/>
            <w:hideMark/>
          </w:tcPr>
          <w:p w14:paraId="415A5D67" w14:textId="77777777" w:rsidR="000C1E0E" w:rsidRDefault="000C1E0E" w:rsidP="0098752B">
            <w:pPr>
              <w:spacing w:line="240" w:lineRule="auto"/>
              <w:jc w:val="center"/>
              <w:rPr>
                <w:sz w:val="24"/>
                <w:szCs w:val="24"/>
              </w:rPr>
            </w:pPr>
            <w:r>
              <w:rPr>
                <w:sz w:val="24"/>
                <w:szCs w:val="24"/>
              </w:rPr>
              <w:t>20%</w:t>
            </w:r>
          </w:p>
        </w:tc>
        <w:tc>
          <w:tcPr>
            <w:tcW w:w="1843" w:type="dxa"/>
            <w:tcBorders>
              <w:top w:val="single" w:sz="12" w:space="0" w:color="auto"/>
              <w:left w:val="single" w:sz="6" w:space="0" w:color="auto"/>
              <w:bottom w:val="single" w:sz="6" w:space="0" w:color="auto"/>
              <w:right w:val="single" w:sz="6" w:space="0" w:color="auto"/>
            </w:tcBorders>
            <w:hideMark/>
          </w:tcPr>
          <w:p w14:paraId="42BE0E10" w14:textId="77777777" w:rsidR="000C1E0E" w:rsidRDefault="000C1E0E" w:rsidP="0098752B">
            <w:pPr>
              <w:spacing w:line="240" w:lineRule="auto"/>
              <w:jc w:val="center"/>
              <w:rPr>
                <w:sz w:val="24"/>
                <w:szCs w:val="24"/>
              </w:rPr>
            </w:pPr>
            <w:r>
              <w:rPr>
                <w:sz w:val="24"/>
                <w:szCs w:val="24"/>
              </w:rPr>
              <w:t>выше 0%</w:t>
            </w:r>
          </w:p>
        </w:tc>
        <w:tc>
          <w:tcPr>
            <w:tcW w:w="1179" w:type="dxa"/>
            <w:tcBorders>
              <w:top w:val="single" w:sz="12" w:space="0" w:color="auto"/>
              <w:left w:val="single" w:sz="6" w:space="0" w:color="auto"/>
              <w:bottom w:val="single" w:sz="6" w:space="0" w:color="auto"/>
              <w:right w:val="single" w:sz="12" w:space="0" w:color="auto"/>
            </w:tcBorders>
            <w:vAlign w:val="center"/>
            <w:hideMark/>
          </w:tcPr>
          <w:p w14:paraId="102E46E5" w14:textId="77777777" w:rsidR="000C1E0E" w:rsidRDefault="000C1E0E" w:rsidP="0098752B">
            <w:pPr>
              <w:spacing w:line="240" w:lineRule="auto"/>
              <w:jc w:val="center"/>
              <w:rPr>
                <w:sz w:val="24"/>
                <w:szCs w:val="24"/>
              </w:rPr>
            </w:pPr>
            <w:r>
              <w:rPr>
                <w:sz w:val="24"/>
                <w:szCs w:val="24"/>
              </w:rPr>
              <w:t>100</w:t>
            </w:r>
          </w:p>
        </w:tc>
      </w:tr>
      <w:tr w:rsidR="000C1E0E" w14:paraId="499BAB41" w14:textId="77777777" w:rsidTr="0098752B">
        <w:trPr>
          <w:trHeight w:val="135"/>
          <w:jc w:val="center"/>
        </w:trPr>
        <w:tc>
          <w:tcPr>
            <w:tcW w:w="0" w:type="auto"/>
            <w:vMerge/>
            <w:tcBorders>
              <w:top w:val="single" w:sz="12" w:space="0" w:color="auto"/>
              <w:left w:val="single" w:sz="12" w:space="0" w:color="auto"/>
              <w:bottom w:val="single" w:sz="12" w:space="0" w:color="auto"/>
              <w:right w:val="single" w:sz="6" w:space="0" w:color="auto"/>
            </w:tcBorders>
            <w:vAlign w:val="center"/>
            <w:hideMark/>
          </w:tcPr>
          <w:p w14:paraId="0DDB9B8A" w14:textId="77777777" w:rsidR="000C1E0E" w:rsidRDefault="000C1E0E" w:rsidP="0098752B">
            <w:pPr>
              <w:spacing w:line="240" w:lineRule="auto"/>
              <w:jc w:val="left"/>
              <w:rPr>
                <w:sz w:val="24"/>
                <w:szCs w:val="24"/>
              </w:rPr>
            </w:pPr>
          </w:p>
        </w:tc>
        <w:tc>
          <w:tcPr>
            <w:tcW w:w="0" w:type="auto"/>
            <w:vMerge/>
            <w:tcBorders>
              <w:top w:val="single" w:sz="12" w:space="0" w:color="auto"/>
              <w:left w:val="single" w:sz="6" w:space="0" w:color="auto"/>
              <w:bottom w:val="single" w:sz="12" w:space="0" w:color="auto"/>
              <w:right w:val="single" w:sz="6" w:space="0" w:color="auto"/>
            </w:tcBorders>
            <w:vAlign w:val="center"/>
            <w:hideMark/>
          </w:tcPr>
          <w:p w14:paraId="3CEAA7EB" w14:textId="77777777" w:rsidR="000C1E0E" w:rsidRDefault="000C1E0E" w:rsidP="0098752B">
            <w:pPr>
              <w:spacing w:line="240" w:lineRule="auto"/>
              <w:jc w:val="left"/>
              <w:rPr>
                <w:sz w:val="24"/>
                <w:szCs w:val="24"/>
              </w:rPr>
            </w:pPr>
          </w:p>
        </w:tc>
        <w:tc>
          <w:tcPr>
            <w:tcW w:w="0" w:type="auto"/>
            <w:vMerge/>
            <w:tcBorders>
              <w:top w:val="single" w:sz="12" w:space="0" w:color="auto"/>
              <w:left w:val="single" w:sz="6" w:space="0" w:color="auto"/>
              <w:bottom w:val="single" w:sz="12" w:space="0" w:color="auto"/>
              <w:right w:val="single" w:sz="6" w:space="0" w:color="auto"/>
            </w:tcBorders>
            <w:vAlign w:val="center"/>
            <w:hideMark/>
          </w:tcPr>
          <w:p w14:paraId="1138B159" w14:textId="77777777" w:rsidR="000C1E0E" w:rsidRDefault="000C1E0E" w:rsidP="0098752B">
            <w:pPr>
              <w:spacing w:line="240" w:lineRule="auto"/>
              <w:jc w:val="left"/>
              <w:rPr>
                <w:sz w:val="24"/>
                <w:szCs w:val="24"/>
              </w:rPr>
            </w:pPr>
          </w:p>
        </w:tc>
        <w:tc>
          <w:tcPr>
            <w:tcW w:w="1843" w:type="dxa"/>
            <w:tcBorders>
              <w:top w:val="single" w:sz="6" w:space="0" w:color="auto"/>
              <w:left w:val="single" w:sz="6" w:space="0" w:color="auto"/>
              <w:bottom w:val="single" w:sz="6" w:space="0" w:color="auto"/>
              <w:right w:val="single" w:sz="6" w:space="0" w:color="auto"/>
            </w:tcBorders>
            <w:hideMark/>
          </w:tcPr>
          <w:p w14:paraId="46F8680B" w14:textId="77777777" w:rsidR="000C1E0E" w:rsidRDefault="000C1E0E" w:rsidP="0098752B">
            <w:pPr>
              <w:spacing w:line="240" w:lineRule="auto"/>
              <w:jc w:val="center"/>
              <w:rPr>
                <w:sz w:val="24"/>
                <w:szCs w:val="24"/>
              </w:rPr>
            </w:pPr>
            <w:r>
              <w:rPr>
                <w:sz w:val="24"/>
                <w:szCs w:val="24"/>
              </w:rPr>
              <w:t>от -5% до 0%</w:t>
            </w:r>
          </w:p>
        </w:tc>
        <w:tc>
          <w:tcPr>
            <w:tcW w:w="1179" w:type="dxa"/>
            <w:tcBorders>
              <w:top w:val="single" w:sz="6" w:space="0" w:color="auto"/>
              <w:left w:val="single" w:sz="6" w:space="0" w:color="auto"/>
              <w:bottom w:val="single" w:sz="6" w:space="0" w:color="auto"/>
              <w:right w:val="single" w:sz="12" w:space="0" w:color="auto"/>
            </w:tcBorders>
            <w:vAlign w:val="center"/>
            <w:hideMark/>
          </w:tcPr>
          <w:p w14:paraId="42BC3720" w14:textId="77777777" w:rsidR="000C1E0E" w:rsidRDefault="000C1E0E" w:rsidP="0098752B">
            <w:pPr>
              <w:spacing w:line="240" w:lineRule="auto"/>
              <w:jc w:val="center"/>
              <w:rPr>
                <w:sz w:val="24"/>
                <w:szCs w:val="24"/>
              </w:rPr>
            </w:pPr>
            <w:r>
              <w:rPr>
                <w:sz w:val="24"/>
                <w:szCs w:val="24"/>
              </w:rPr>
              <w:t>80</w:t>
            </w:r>
          </w:p>
        </w:tc>
      </w:tr>
      <w:tr w:rsidR="000C1E0E" w14:paraId="3F31CA50" w14:textId="77777777" w:rsidTr="0098752B">
        <w:trPr>
          <w:trHeight w:val="135"/>
          <w:jc w:val="center"/>
        </w:trPr>
        <w:tc>
          <w:tcPr>
            <w:tcW w:w="0" w:type="auto"/>
            <w:vMerge/>
            <w:tcBorders>
              <w:top w:val="single" w:sz="12" w:space="0" w:color="auto"/>
              <w:left w:val="single" w:sz="12" w:space="0" w:color="auto"/>
              <w:bottom w:val="single" w:sz="12" w:space="0" w:color="auto"/>
              <w:right w:val="single" w:sz="6" w:space="0" w:color="auto"/>
            </w:tcBorders>
            <w:vAlign w:val="center"/>
            <w:hideMark/>
          </w:tcPr>
          <w:p w14:paraId="7405B447" w14:textId="77777777" w:rsidR="000C1E0E" w:rsidRDefault="000C1E0E" w:rsidP="0098752B">
            <w:pPr>
              <w:spacing w:line="240" w:lineRule="auto"/>
              <w:jc w:val="left"/>
              <w:rPr>
                <w:sz w:val="24"/>
                <w:szCs w:val="24"/>
              </w:rPr>
            </w:pPr>
          </w:p>
        </w:tc>
        <w:tc>
          <w:tcPr>
            <w:tcW w:w="0" w:type="auto"/>
            <w:vMerge/>
            <w:tcBorders>
              <w:top w:val="single" w:sz="12" w:space="0" w:color="auto"/>
              <w:left w:val="single" w:sz="6" w:space="0" w:color="auto"/>
              <w:bottom w:val="single" w:sz="12" w:space="0" w:color="auto"/>
              <w:right w:val="single" w:sz="6" w:space="0" w:color="auto"/>
            </w:tcBorders>
            <w:vAlign w:val="center"/>
            <w:hideMark/>
          </w:tcPr>
          <w:p w14:paraId="19E1F591" w14:textId="77777777" w:rsidR="000C1E0E" w:rsidRDefault="000C1E0E" w:rsidP="0098752B">
            <w:pPr>
              <w:spacing w:line="240" w:lineRule="auto"/>
              <w:jc w:val="left"/>
              <w:rPr>
                <w:sz w:val="24"/>
                <w:szCs w:val="24"/>
              </w:rPr>
            </w:pPr>
          </w:p>
        </w:tc>
        <w:tc>
          <w:tcPr>
            <w:tcW w:w="0" w:type="auto"/>
            <w:vMerge/>
            <w:tcBorders>
              <w:top w:val="single" w:sz="12" w:space="0" w:color="auto"/>
              <w:left w:val="single" w:sz="6" w:space="0" w:color="auto"/>
              <w:bottom w:val="single" w:sz="12" w:space="0" w:color="auto"/>
              <w:right w:val="single" w:sz="6" w:space="0" w:color="auto"/>
            </w:tcBorders>
            <w:vAlign w:val="center"/>
            <w:hideMark/>
          </w:tcPr>
          <w:p w14:paraId="0C967333" w14:textId="77777777" w:rsidR="000C1E0E" w:rsidRDefault="000C1E0E" w:rsidP="0098752B">
            <w:pPr>
              <w:spacing w:line="240" w:lineRule="auto"/>
              <w:jc w:val="left"/>
              <w:rPr>
                <w:sz w:val="24"/>
                <w:szCs w:val="24"/>
              </w:rPr>
            </w:pPr>
          </w:p>
        </w:tc>
        <w:tc>
          <w:tcPr>
            <w:tcW w:w="1843" w:type="dxa"/>
            <w:tcBorders>
              <w:top w:val="single" w:sz="6" w:space="0" w:color="auto"/>
              <w:left w:val="single" w:sz="6" w:space="0" w:color="auto"/>
              <w:bottom w:val="single" w:sz="6" w:space="0" w:color="auto"/>
              <w:right w:val="single" w:sz="6" w:space="0" w:color="auto"/>
            </w:tcBorders>
            <w:hideMark/>
          </w:tcPr>
          <w:p w14:paraId="02CE35DC" w14:textId="77777777" w:rsidR="000C1E0E" w:rsidRDefault="000C1E0E" w:rsidP="0098752B">
            <w:pPr>
              <w:spacing w:line="240" w:lineRule="auto"/>
              <w:jc w:val="center"/>
              <w:rPr>
                <w:sz w:val="24"/>
                <w:szCs w:val="24"/>
              </w:rPr>
            </w:pPr>
            <w:r>
              <w:rPr>
                <w:sz w:val="24"/>
                <w:szCs w:val="24"/>
              </w:rPr>
              <w:t>от -10% до -5%</w:t>
            </w:r>
          </w:p>
        </w:tc>
        <w:tc>
          <w:tcPr>
            <w:tcW w:w="1179" w:type="dxa"/>
            <w:tcBorders>
              <w:top w:val="single" w:sz="6" w:space="0" w:color="auto"/>
              <w:left w:val="single" w:sz="6" w:space="0" w:color="auto"/>
              <w:bottom w:val="single" w:sz="6" w:space="0" w:color="auto"/>
              <w:right w:val="single" w:sz="12" w:space="0" w:color="auto"/>
            </w:tcBorders>
            <w:vAlign w:val="center"/>
            <w:hideMark/>
          </w:tcPr>
          <w:p w14:paraId="3BF4F397" w14:textId="77777777" w:rsidR="000C1E0E" w:rsidRDefault="000C1E0E" w:rsidP="0098752B">
            <w:pPr>
              <w:spacing w:line="240" w:lineRule="auto"/>
              <w:jc w:val="center"/>
              <w:rPr>
                <w:sz w:val="24"/>
                <w:szCs w:val="24"/>
              </w:rPr>
            </w:pPr>
            <w:r>
              <w:rPr>
                <w:sz w:val="24"/>
                <w:szCs w:val="24"/>
              </w:rPr>
              <w:t>60</w:t>
            </w:r>
          </w:p>
        </w:tc>
      </w:tr>
      <w:tr w:rsidR="000C1E0E" w14:paraId="5ECA70F2" w14:textId="77777777" w:rsidTr="0098752B">
        <w:trPr>
          <w:trHeight w:val="135"/>
          <w:jc w:val="center"/>
        </w:trPr>
        <w:tc>
          <w:tcPr>
            <w:tcW w:w="0" w:type="auto"/>
            <w:vMerge/>
            <w:tcBorders>
              <w:top w:val="single" w:sz="12" w:space="0" w:color="auto"/>
              <w:left w:val="single" w:sz="12" w:space="0" w:color="auto"/>
              <w:bottom w:val="single" w:sz="12" w:space="0" w:color="auto"/>
              <w:right w:val="single" w:sz="6" w:space="0" w:color="auto"/>
            </w:tcBorders>
            <w:vAlign w:val="center"/>
            <w:hideMark/>
          </w:tcPr>
          <w:p w14:paraId="742B4377" w14:textId="77777777" w:rsidR="000C1E0E" w:rsidRDefault="000C1E0E" w:rsidP="0098752B">
            <w:pPr>
              <w:spacing w:line="240" w:lineRule="auto"/>
              <w:jc w:val="left"/>
              <w:rPr>
                <w:sz w:val="24"/>
                <w:szCs w:val="24"/>
              </w:rPr>
            </w:pPr>
          </w:p>
        </w:tc>
        <w:tc>
          <w:tcPr>
            <w:tcW w:w="0" w:type="auto"/>
            <w:vMerge/>
            <w:tcBorders>
              <w:top w:val="single" w:sz="12" w:space="0" w:color="auto"/>
              <w:left w:val="single" w:sz="6" w:space="0" w:color="auto"/>
              <w:bottom w:val="single" w:sz="12" w:space="0" w:color="auto"/>
              <w:right w:val="single" w:sz="6" w:space="0" w:color="auto"/>
            </w:tcBorders>
            <w:vAlign w:val="center"/>
            <w:hideMark/>
          </w:tcPr>
          <w:p w14:paraId="3AC8155B" w14:textId="77777777" w:rsidR="000C1E0E" w:rsidRDefault="000C1E0E" w:rsidP="0098752B">
            <w:pPr>
              <w:spacing w:line="240" w:lineRule="auto"/>
              <w:jc w:val="left"/>
              <w:rPr>
                <w:sz w:val="24"/>
                <w:szCs w:val="24"/>
              </w:rPr>
            </w:pPr>
          </w:p>
        </w:tc>
        <w:tc>
          <w:tcPr>
            <w:tcW w:w="0" w:type="auto"/>
            <w:vMerge/>
            <w:tcBorders>
              <w:top w:val="single" w:sz="12" w:space="0" w:color="auto"/>
              <w:left w:val="single" w:sz="6" w:space="0" w:color="auto"/>
              <w:bottom w:val="single" w:sz="12" w:space="0" w:color="auto"/>
              <w:right w:val="single" w:sz="6" w:space="0" w:color="auto"/>
            </w:tcBorders>
            <w:vAlign w:val="center"/>
            <w:hideMark/>
          </w:tcPr>
          <w:p w14:paraId="28E817E8" w14:textId="77777777" w:rsidR="000C1E0E" w:rsidRDefault="000C1E0E" w:rsidP="0098752B">
            <w:pPr>
              <w:spacing w:line="240" w:lineRule="auto"/>
              <w:jc w:val="left"/>
              <w:rPr>
                <w:sz w:val="24"/>
                <w:szCs w:val="24"/>
              </w:rPr>
            </w:pPr>
          </w:p>
        </w:tc>
        <w:tc>
          <w:tcPr>
            <w:tcW w:w="1843" w:type="dxa"/>
            <w:tcBorders>
              <w:top w:val="single" w:sz="6" w:space="0" w:color="auto"/>
              <w:left w:val="single" w:sz="6" w:space="0" w:color="auto"/>
              <w:bottom w:val="single" w:sz="6" w:space="0" w:color="auto"/>
              <w:right w:val="single" w:sz="6" w:space="0" w:color="auto"/>
            </w:tcBorders>
            <w:hideMark/>
          </w:tcPr>
          <w:p w14:paraId="6AE9DC92" w14:textId="77777777" w:rsidR="000C1E0E" w:rsidRDefault="000C1E0E" w:rsidP="0098752B">
            <w:pPr>
              <w:spacing w:line="240" w:lineRule="auto"/>
              <w:jc w:val="center"/>
              <w:rPr>
                <w:sz w:val="24"/>
                <w:szCs w:val="24"/>
              </w:rPr>
            </w:pPr>
            <w:r>
              <w:rPr>
                <w:sz w:val="24"/>
                <w:szCs w:val="24"/>
              </w:rPr>
              <w:t>от -15% до -10%</w:t>
            </w:r>
          </w:p>
        </w:tc>
        <w:tc>
          <w:tcPr>
            <w:tcW w:w="1179" w:type="dxa"/>
            <w:tcBorders>
              <w:top w:val="single" w:sz="6" w:space="0" w:color="auto"/>
              <w:left w:val="single" w:sz="6" w:space="0" w:color="auto"/>
              <w:bottom w:val="single" w:sz="6" w:space="0" w:color="auto"/>
              <w:right w:val="single" w:sz="12" w:space="0" w:color="auto"/>
            </w:tcBorders>
            <w:vAlign w:val="center"/>
            <w:hideMark/>
          </w:tcPr>
          <w:p w14:paraId="28BFBD35" w14:textId="77777777" w:rsidR="000C1E0E" w:rsidRDefault="000C1E0E" w:rsidP="0098752B">
            <w:pPr>
              <w:spacing w:line="240" w:lineRule="auto"/>
              <w:jc w:val="center"/>
              <w:rPr>
                <w:sz w:val="24"/>
                <w:szCs w:val="24"/>
              </w:rPr>
            </w:pPr>
            <w:r>
              <w:rPr>
                <w:sz w:val="24"/>
                <w:szCs w:val="24"/>
              </w:rPr>
              <w:t>40</w:t>
            </w:r>
          </w:p>
        </w:tc>
      </w:tr>
      <w:tr w:rsidR="000C1E0E" w14:paraId="2AFC581B" w14:textId="77777777" w:rsidTr="0098752B">
        <w:trPr>
          <w:trHeight w:val="135"/>
          <w:jc w:val="center"/>
        </w:trPr>
        <w:tc>
          <w:tcPr>
            <w:tcW w:w="0" w:type="auto"/>
            <w:vMerge/>
            <w:tcBorders>
              <w:top w:val="single" w:sz="12" w:space="0" w:color="auto"/>
              <w:left w:val="single" w:sz="12" w:space="0" w:color="auto"/>
              <w:bottom w:val="single" w:sz="12" w:space="0" w:color="auto"/>
              <w:right w:val="single" w:sz="6" w:space="0" w:color="auto"/>
            </w:tcBorders>
            <w:vAlign w:val="center"/>
            <w:hideMark/>
          </w:tcPr>
          <w:p w14:paraId="175BD3D3" w14:textId="77777777" w:rsidR="000C1E0E" w:rsidRDefault="000C1E0E" w:rsidP="0098752B">
            <w:pPr>
              <w:spacing w:line="240" w:lineRule="auto"/>
              <w:jc w:val="left"/>
              <w:rPr>
                <w:sz w:val="24"/>
                <w:szCs w:val="24"/>
              </w:rPr>
            </w:pPr>
          </w:p>
        </w:tc>
        <w:tc>
          <w:tcPr>
            <w:tcW w:w="0" w:type="auto"/>
            <w:vMerge/>
            <w:tcBorders>
              <w:top w:val="single" w:sz="12" w:space="0" w:color="auto"/>
              <w:left w:val="single" w:sz="6" w:space="0" w:color="auto"/>
              <w:bottom w:val="single" w:sz="12" w:space="0" w:color="auto"/>
              <w:right w:val="single" w:sz="6" w:space="0" w:color="auto"/>
            </w:tcBorders>
            <w:vAlign w:val="center"/>
            <w:hideMark/>
          </w:tcPr>
          <w:p w14:paraId="38DA0C4F" w14:textId="77777777" w:rsidR="000C1E0E" w:rsidRDefault="000C1E0E" w:rsidP="0098752B">
            <w:pPr>
              <w:spacing w:line="240" w:lineRule="auto"/>
              <w:jc w:val="left"/>
              <w:rPr>
                <w:sz w:val="24"/>
                <w:szCs w:val="24"/>
              </w:rPr>
            </w:pPr>
          </w:p>
        </w:tc>
        <w:tc>
          <w:tcPr>
            <w:tcW w:w="0" w:type="auto"/>
            <w:vMerge/>
            <w:tcBorders>
              <w:top w:val="single" w:sz="12" w:space="0" w:color="auto"/>
              <w:left w:val="single" w:sz="6" w:space="0" w:color="auto"/>
              <w:bottom w:val="single" w:sz="12" w:space="0" w:color="auto"/>
              <w:right w:val="single" w:sz="6" w:space="0" w:color="auto"/>
            </w:tcBorders>
            <w:vAlign w:val="center"/>
            <w:hideMark/>
          </w:tcPr>
          <w:p w14:paraId="2017178E" w14:textId="77777777" w:rsidR="000C1E0E" w:rsidRDefault="000C1E0E" w:rsidP="0098752B">
            <w:pPr>
              <w:spacing w:line="240" w:lineRule="auto"/>
              <w:jc w:val="left"/>
              <w:rPr>
                <w:sz w:val="24"/>
                <w:szCs w:val="24"/>
              </w:rPr>
            </w:pPr>
          </w:p>
        </w:tc>
        <w:tc>
          <w:tcPr>
            <w:tcW w:w="1843" w:type="dxa"/>
            <w:tcBorders>
              <w:top w:val="single" w:sz="6" w:space="0" w:color="auto"/>
              <w:left w:val="single" w:sz="6" w:space="0" w:color="auto"/>
              <w:bottom w:val="single" w:sz="6" w:space="0" w:color="auto"/>
              <w:right w:val="single" w:sz="6" w:space="0" w:color="auto"/>
            </w:tcBorders>
            <w:hideMark/>
          </w:tcPr>
          <w:p w14:paraId="30EF68CC" w14:textId="77777777" w:rsidR="000C1E0E" w:rsidRDefault="000C1E0E" w:rsidP="0098752B">
            <w:pPr>
              <w:spacing w:line="240" w:lineRule="auto"/>
              <w:jc w:val="center"/>
              <w:rPr>
                <w:sz w:val="24"/>
                <w:szCs w:val="24"/>
              </w:rPr>
            </w:pPr>
            <w:r>
              <w:rPr>
                <w:sz w:val="24"/>
                <w:szCs w:val="24"/>
              </w:rPr>
              <w:t>от -20% до -15%</w:t>
            </w:r>
          </w:p>
        </w:tc>
        <w:tc>
          <w:tcPr>
            <w:tcW w:w="1179" w:type="dxa"/>
            <w:tcBorders>
              <w:top w:val="single" w:sz="6" w:space="0" w:color="auto"/>
              <w:left w:val="single" w:sz="6" w:space="0" w:color="auto"/>
              <w:bottom w:val="single" w:sz="6" w:space="0" w:color="auto"/>
              <w:right w:val="single" w:sz="12" w:space="0" w:color="auto"/>
            </w:tcBorders>
            <w:vAlign w:val="center"/>
            <w:hideMark/>
          </w:tcPr>
          <w:p w14:paraId="6B941527" w14:textId="77777777" w:rsidR="000C1E0E" w:rsidRDefault="000C1E0E" w:rsidP="0098752B">
            <w:pPr>
              <w:spacing w:line="240" w:lineRule="auto"/>
              <w:jc w:val="center"/>
              <w:rPr>
                <w:sz w:val="24"/>
                <w:szCs w:val="24"/>
              </w:rPr>
            </w:pPr>
            <w:r>
              <w:rPr>
                <w:sz w:val="24"/>
                <w:szCs w:val="24"/>
              </w:rPr>
              <w:t>20</w:t>
            </w:r>
          </w:p>
        </w:tc>
      </w:tr>
      <w:tr w:rsidR="000C1E0E" w14:paraId="13DC10DA" w14:textId="77777777" w:rsidTr="0098752B">
        <w:trPr>
          <w:trHeight w:val="135"/>
          <w:jc w:val="center"/>
        </w:trPr>
        <w:tc>
          <w:tcPr>
            <w:tcW w:w="0" w:type="auto"/>
            <w:vMerge/>
            <w:tcBorders>
              <w:top w:val="single" w:sz="12" w:space="0" w:color="auto"/>
              <w:left w:val="single" w:sz="12" w:space="0" w:color="auto"/>
              <w:bottom w:val="single" w:sz="12" w:space="0" w:color="auto"/>
              <w:right w:val="single" w:sz="6" w:space="0" w:color="auto"/>
            </w:tcBorders>
            <w:vAlign w:val="center"/>
            <w:hideMark/>
          </w:tcPr>
          <w:p w14:paraId="2DCCBCAE" w14:textId="77777777" w:rsidR="000C1E0E" w:rsidRDefault="000C1E0E" w:rsidP="0098752B">
            <w:pPr>
              <w:spacing w:line="240" w:lineRule="auto"/>
              <w:jc w:val="left"/>
              <w:rPr>
                <w:sz w:val="24"/>
                <w:szCs w:val="24"/>
              </w:rPr>
            </w:pPr>
          </w:p>
        </w:tc>
        <w:tc>
          <w:tcPr>
            <w:tcW w:w="0" w:type="auto"/>
            <w:vMerge/>
            <w:tcBorders>
              <w:top w:val="single" w:sz="12" w:space="0" w:color="auto"/>
              <w:left w:val="single" w:sz="6" w:space="0" w:color="auto"/>
              <w:bottom w:val="single" w:sz="12" w:space="0" w:color="auto"/>
              <w:right w:val="single" w:sz="6" w:space="0" w:color="auto"/>
            </w:tcBorders>
            <w:vAlign w:val="center"/>
            <w:hideMark/>
          </w:tcPr>
          <w:p w14:paraId="226F33E2" w14:textId="77777777" w:rsidR="000C1E0E" w:rsidRDefault="000C1E0E" w:rsidP="0098752B">
            <w:pPr>
              <w:spacing w:line="240" w:lineRule="auto"/>
              <w:jc w:val="left"/>
              <w:rPr>
                <w:sz w:val="24"/>
                <w:szCs w:val="24"/>
              </w:rPr>
            </w:pPr>
          </w:p>
        </w:tc>
        <w:tc>
          <w:tcPr>
            <w:tcW w:w="0" w:type="auto"/>
            <w:vMerge/>
            <w:tcBorders>
              <w:top w:val="single" w:sz="12" w:space="0" w:color="auto"/>
              <w:left w:val="single" w:sz="6" w:space="0" w:color="auto"/>
              <w:bottom w:val="single" w:sz="12" w:space="0" w:color="auto"/>
              <w:right w:val="single" w:sz="6" w:space="0" w:color="auto"/>
            </w:tcBorders>
            <w:vAlign w:val="center"/>
            <w:hideMark/>
          </w:tcPr>
          <w:p w14:paraId="1F262252" w14:textId="77777777" w:rsidR="000C1E0E" w:rsidRDefault="000C1E0E" w:rsidP="0098752B">
            <w:pPr>
              <w:spacing w:line="240" w:lineRule="auto"/>
              <w:jc w:val="left"/>
              <w:rPr>
                <w:sz w:val="24"/>
                <w:szCs w:val="24"/>
              </w:rPr>
            </w:pPr>
          </w:p>
        </w:tc>
        <w:tc>
          <w:tcPr>
            <w:tcW w:w="1843" w:type="dxa"/>
            <w:tcBorders>
              <w:top w:val="single" w:sz="6" w:space="0" w:color="auto"/>
              <w:left w:val="single" w:sz="6" w:space="0" w:color="auto"/>
              <w:bottom w:val="single" w:sz="12" w:space="0" w:color="auto"/>
              <w:right w:val="single" w:sz="6" w:space="0" w:color="auto"/>
            </w:tcBorders>
            <w:hideMark/>
          </w:tcPr>
          <w:p w14:paraId="14FF66A1" w14:textId="77777777" w:rsidR="000C1E0E" w:rsidRDefault="000C1E0E" w:rsidP="0098752B">
            <w:pPr>
              <w:spacing w:line="240" w:lineRule="auto"/>
              <w:jc w:val="center"/>
              <w:rPr>
                <w:sz w:val="24"/>
                <w:szCs w:val="24"/>
              </w:rPr>
            </w:pPr>
            <w:r>
              <w:rPr>
                <w:sz w:val="24"/>
                <w:szCs w:val="24"/>
              </w:rPr>
              <w:t>до -20%</w:t>
            </w:r>
          </w:p>
        </w:tc>
        <w:tc>
          <w:tcPr>
            <w:tcW w:w="1179" w:type="dxa"/>
            <w:tcBorders>
              <w:top w:val="single" w:sz="6" w:space="0" w:color="auto"/>
              <w:left w:val="single" w:sz="6" w:space="0" w:color="auto"/>
              <w:bottom w:val="single" w:sz="12" w:space="0" w:color="auto"/>
              <w:right w:val="single" w:sz="12" w:space="0" w:color="auto"/>
            </w:tcBorders>
            <w:vAlign w:val="center"/>
            <w:hideMark/>
          </w:tcPr>
          <w:p w14:paraId="2510E2DD" w14:textId="77777777" w:rsidR="000C1E0E" w:rsidRDefault="000C1E0E" w:rsidP="0098752B">
            <w:pPr>
              <w:spacing w:line="240" w:lineRule="auto"/>
              <w:jc w:val="center"/>
              <w:rPr>
                <w:sz w:val="24"/>
                <w:szCs w:val="24"/>
              </w:rPr>
            </w:pPr>
            <w:r>
              <w:rPr>
                <w:sz w:val="24"/>
                <w:szCs w:val="24"/>
              </w:rPr>
              <w:t>0</w:t>
            </w:r>
          </w:p>
        </w:tc>
      </w:tr>
      <w:tr w:rsidR="000C1E0E" w14:paraId="294A0ABF" w14:textId="77777777" w:rsidTr="0098752B">
        <w:trPr>
          <w:trHeight w:val="340"/>
          <w:jc w:val="center"/>
        </w:trPr>
        <w:tc>
          <w:tcPr>
            <w:tcW w:w="2599" w:type="dxa"/>
            <w:tcBorders>
              <w:top w:val="single" w:sz="12" w:space="0" w:color="auto"/>
              <w:left w:val="single" w:sz="12" w:space="0" w:color="auto"/>
              <w:bottom w:val="single" w:sz="12" w:space="0" w:color="auto"/>
              <w:right w:val="single" w:sz="6" w:space="0" w:color="auto"/>
            </w:tcBorders>
            <w:vAlign w:val="center"/>
            <w:hideMark/>
          </w:tcPr>
          <w:p w14:paraId="7C7F497E" w14:textId="77777777" w:rsidR="000C1E0E" w:rsidRDefault="000C1E0E" w:rsidP="0098752B">
            <w:pPr>
              <w:spacing w:line="240" w:lineRule="auto"/>
              <w:jc w:val="center"/>
              <w:rPr>
                <w:sz w:val="24"/>
                <w:szCs w:val="24"/>
              </w:rPr>
            </w:pPr>
            <w:r>
              <w:rPr>
                <w:sz w:val="24"/>
                <w:szCs w:val="24"/>
              </w:rPr>
              <w:t>Итоговый балл</w:t>
            </w:r>
          </w:p>
        </w:tc>
        <w:tc>
          <w:tcPr>
            <w:tcW w:w="2938" w:type="dxa"/>
            <w:tcBorders>
              <w:top w:val="single" w:sz="12" w:space="0" w:color="auto"/>
              <w:left w:val="single" w:sz="6" w:space="0" w:color="auto"/>
              <w:bottom w:val="single" w:sz="12" w:space="0" w:color="auto"/>
              <w:right w:val="single" w:sz="6" w:space="0" w:color="auto"/>
            </w:tcBorders>
            <w:vAlign w:val="center"/>
          </w:tcPr>
          <w:p w14:paraId="3A335FDC" w14:textId="77777777" w:rsidR="000C1E0E" w:rsidRDefault="000C1E0E" w:rsidP="0098752B">
            <w:pPr>
              <w:spacing w:line="240" w:lineRule="auto"/>
              <w:jc w:val="center"/>
              <w:rPr>
                <w:sz w:val="24"/>
                <w:szCs w:val="24"/>
              </w:rPr>
            </w:pPr>
          </w:p>
        </w:tc>
        <w:tc>
          <w:tcPr>
            <w:tcW w:w="889" w:type="dxa"/>
            <w:tcBorders>
              <w:top w:val="single" w:sz="12" w:space="0" w:color="auto"/>
              <w:left w:val="single" w:sz="6" w:space="0" w:color="auto"/>
              <w:bottom w:val="single" w:sz="12" w:space="0" w:color="auto"/>
              <w:right w:val="single" w:sz="6" w:space="0" w:color="auto"/>
            </w:tcBorders>
            <w:vAlign w:val="center"/>
            <w:hideMark/>
          </w:tcPr>
          <w:p w14:paraId="5FF142C7" w14:textId="77777777" w:rsidR="000C1E0E" w:rsidRDefault="000C1E0E" w:rsidP="0098752B">
            <w:pPr>
              <w:spacing w:line="240" w:lineRule="auto"/>
              <w:jc w:val="center"/>
              <w:rPr>
                <w:sz w:val="24"/>
                <w:szCs w:val="24"/>
              </w:rPr>
            </w:pPr>
            <w:r>
              <w:rPr>
                <w:sz w:val="24"/>
                <w:szCs w:val="24"/>
              </w:rPr>
              <w:t>100%</w:t>
            </w:r>
          </w:p>
        </w:tc>
        <w:tc>
          <w:tcPr>
            <w:tcW w:w="1843" w:type="dxa"/>
            <w:tcBorders>
              <w:top w:val="single" w:sz="12" w:space="0" w:color="auto"/>
              <w:left w:val="single" w:sz="6" w:space="0" w:color="auto"/>
              <w:bottom w:val="single" w:sz="12" w:space="0" w:color="auto"/>
              <w:right w:val="single" w:sz="6" w:space="0" w:color="auto"/>
            </w:tcBorders>
          </w:tcPr>
          <w:p w14:paraId="459BAD8D" w14:textId="77777777" w:rsidR="000C1E0E" w:rsidRDefault="000C1E0E" w:rsidP="0098752B">
            <w:pPr>
              <w:spacing w:line="240" w:lineRule="auto"/>
              <w:jc w:val="center"/>
              <w:rPr>
                <w:sz w:val="24"/>
                <w:szCs w:val="24"/>
              </w:rPr>
            </w:pPr>
          </w:p>
        </w:tc>
        <w:tc>
          <w:tcPr>
            <w:tcW w:w="1179" w:type="dxa"/>
            <w:tcBorders>
              <w:top w:val="single" w:sz="12" w:space="0" w:color="auto"/>
              <w:left w:val="single" w:sz="6" w:space="0" w:color="auto"/>
              <w:bottom w:val="single" w:sz="12" w:space="0" w:color="auto"/>
              <w:right w:val="single" w:sz="12" w:space="0" w:color="auto"/>
            </w:tcBorders>
            <w:vAlign w:val="center"/>
          </w:tcPr>
          <w:p w14:paraId="005DCB39" w14:textId="77777777" w:rsidR="000C1E0E" w:rsidRDefault="000C1E0E" w:rsidP="0098752B">
            <w:pPr>
              <w:spacing w:line="240" w:lineRule="auto"/>
              <w:jc w:val="center"/>
              <w:rPr>
                <w:sz w:val="24"/>
                <w:szCs w:val="24"/>
              </w:rPr>
            </w:pPr>
          </w:p>
        </w:tc>
      </w:tr>
    </w:tbl>
    <w:p w14:paraId="188B0E58" w14:textId="77777777" w:rsidR="000C1E0E" w:rsidRDefault="000C1E0E" w:rsidP="000C1E0E">
      <w:pPr>
        <w:autoSpaceDE w:val="0"/>
        <w:autoSpaceDN w:val="0"/>
        <w:spacing w:line="240" w:lineRule="auto"/>
        <w:rPr>
          <w:sz w:val="24"/>
          <w:szCs w:val="24"/>
        </w:rPr>
      </w:pPr>
    </w:p>
    <w:p w14:paraId="29B1F660" w14:textId="77777777" w:rsidR="000C1E0E" w:rsidRDefault="000C1E0E" w:rsidP="000C1E0E">
      <w:pPr>
        <w:autoSpaceDE w:val="0"/>
        <w:autoSpaceDN w:val="0"/>
        <w:spacing w:line="240" w:lineRule="auto"/>
        <w:rPr>
          <w:sz w:val="24"/>
          <w:szCs w:val="24"/>
        </w:rPr>
      </w:pPr>
    </w:p>
    <w:p w14:paraId="2B458164" w14:textId="77777777" w:rsidR="000C1E0E" w:rsidRDefault="000C1E0E" w:rsidP="000C1E0E">
      <w:pPr>
        <w:keepNext/>
        <w:tabs>
          <w:tab w:val="left" w:pos="2977"/>
        </w:tabs>
        <w:suppressAutoHyphens/>
        <w:spacing w:line="240" w:lineRule="auto"/>
        <w:jc w:val="center"/>
        <w:outlineLvl w:val="2"/>
        <w:rPr>
          <w:sz w:val="24"/>
          <w:szCs w:val="24"/>
        </w:rPr>
      </w:pPr>
      <w:r>
        <w:rPr>
          <w:sz w:val="24"/>
          <w:szCs w:val="24"/>
        </w:rPr>
        <w:t>Таблица 3. Мэппинг рейтинговых групп и итогового балла.</w:t>
      </w:r>
    </w:p>
    <w:tbl>
      <w:tblPr>
        <w:tblW w:w="3167"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2177"/>
        <w:gridCol w:w="2018"/>
        <w:gridCol w:w="1711"/>
      </w:tblGrid>
      <w:tr w:rsidR="000C1E0E" w14:paraId="0F6AE462" w14:textId="77777777" w:rsidTr="0098752B">
        <w:trPr>
          <w:trHeight w:val="340"/>
          <w:jc w:val="center"/>
        </w:trPr>
        <w:tc>
          <w:tcPr>
            <w:tcW w:w="2267" w:type="dxa"/>
            <w:tcBorders>
              <w:top w:val="single" w:sz="12" w:space="0" w:color="auto"/>
              <w:left w:val="single" w:sz="12" w:space="0" w:color="auto"/>
              <w:bottom w:val="single" w:sz="12" w:space="0" w:color="auto"/>
              <w:right w:val="single" w:sz="6" w:space="0" w:color="auto"/>
            </w:tcBorders>
            <w:shd w:val="pct20" w:color="C0C0C0" w:fill="auto"/>
            <w:vAlign w:val="center"/>
            <w:hideMark/>
          </w:tcPr>
          <w:p w14:paraId="24819BDE" w14:textId="77777777" w:rsidR="000C1E0E" w:rsidRDefault="000C1E0E" w:rsidP="0098752B">
            <w:pPr>
              <w:spacing w:line="240" w:lineRule="auto"/>
              <w:jc w:val="center"/>
              <w:rPr>
                <w:sz w:val="24"/>
                <w:szCs w:val="24"/>
              </w:rPr>
            </w:pPr>
            <w:r>
              <w:rPr>
                <w:sz w:val="24"/>
                <w:szCs w:val="24"/>
              </w:rPr>
              <w:t>Standard &amp; Poor’s</w:t>
            </w:r>
          </w:p>
        </w:tc>
        <w:tc>
          <w:tcPr>
            <w:tcW w:w="2032" w:type="dxa"/>
            <w:tcBorders>
              <w:top w:val="single" w:sz="12" w:space="0" w:color="auto"/>
              <w:left w:val="single" w:sz="6" w:space="0" w:color="auto"/>
              <w:bottom w:val="single" w:sz="12" w:space="0" w:color="auto"/>
              <w:right w:val="single" w:sz="6" w:space="0" w:color="auto"/>
            </w:tcBorders>
            <w:shd w:val="pct20" w:color="C0C0C0" w:fill="auto"/>
            <w:vAlign w:val="center"/>
            <w:hideMark/>
          </w:tcPr>
          <w:p w14:paraId="1B455284" w14:textId="77777777" w:rsidR="000C1E0E" w:rsidRDefault="000C1E0E" w:rsidP="0098752B">
            <w:pPr>
              <w:spacing w:line="240" w:lineRule="auto"/>
              <w:jc w:val="center"/>
              <w:rPr>
                <w:sz w:val="24"/>
                <w:szCs w:val="24"/>
              </w:rPr>
            </w:pPr>
            <w:r>
              <w:rPr>
                <w:sz w:val="24"/>
                <w:szCs w:val="24"/>
              </w:rPr>
              <w:t>ВНУТРЕННИЙ РЕЙТИНГ</w:t>
            </w:r>
          </w:p>
        </w:tc>
        <w:tc>
          <w:tcPr>
            <w:tcW w:w="1763" w:type="dxa"/>
            <w:tcBorders>
              <w:top w:val="single" w:sz="12" w:space="0" w:color="auto"/>
              <w:left w:val="single" w:sz="6" w:space="0" w:color="auto"/>
              <w:bottom w:val="single" w:sz="12" w:space="0" w:color="auto"/>
              <w:right w:val="single" w:sz="12" w:space="0" w:color="auto"/>
            </w:tcBorders>
            <w:shd w:val="pct20" w:color="C0C0C0" w:fill="auto"/>
            <w:vAlign w:val="center"/>
            <w:hideMark/>
          </w:tcPr>
          <w:p w14:paraId="4D7B54A4" w14:textId="77777777" w:rsidR="000C1E0E" w:rsidRDefault="000C1E0E" w:rsidP="0098752B">
            <w:pPr>
              <w:spacing w:line="240" w:lineRule="auto"/>
              <w:jc w:val="center"/>
              <w:rPr>
                <w:sz w:val="24"/>
                <w:szCs w:val="24"/>
              </w:rPr>
            </w:pPr>
            <w:r>
              <w:rPr>
                <w:sz w:val="24"/>
                <w:szCs w:val="24"/>
              </w:rPr>
              <w:t>БАЛЛЫ</w:t>
            </w:r>
          </w:p>
        </w:tc>
      </w:tr>
      <w:tr w:rsidR="000C1E0E" w14:paraId="275311DA" w14:textId="77777777" w:rsidTr="0098752B">
        <w:trPr>
          <w:trHeight w:val="340"/>
          <w:jc w:val="center"/>
        </w:trPr>
        <w:tc>
          <w:tcPr>
            <w:tcW w:w="2267" w:type="dxa"/>
            <w:tcBorders>
              <w:top w:val="single" w:sz="12" w:space="0" w:color="auto"/>
              <w:left w:val="single" w:sz="12" w:space="0" w:color="auto"/>
              <w:bottom w:val="single" w:sz="6" w:space="0" w:color="auto"/>
              <w:right w:val="single" w:sz="6" w:space="0" w:color="auto"/>
            </w:tcBorders>
            <w:vAlign w:val="center"/>
            <w:hideMark/>
          </w:tcPr>
          <w:p w14:paraId="12C83E0C" w14:textId="77777777" w:rsidR="000C1E0E" w:rsidRDefault="000C1E0E" w:rsidP="0098752B">
            <w:pPr>
              <w:spacing w:line="240" w:lineRule="auto"/>
              <w:jc w:val="center"/>
              <w:rPr>
                <w:sz w:val="24"/>
                <w:szCs w:val="24"/>
              </w:rPr>
            </w:pPr>
            <w:r>
              <w:rPr>
                <w:sz w:val="24"/>
                <w:szCs w:val="24"/>
              </w:rPr>
              <w:t>B</w:t>
            </w:r>
          </w:p>
        </w:tc>
        <w:tc>
          <w:tcPr>
            <w:tcW w:w="2032" w:type="dxa"/>
            <w:tcBorders>
              <w:top w:val="single" w:sz="12" w:space="0" w:color="auto"/>
              <w:left w:val="single" w:sz="6" w:space="0" w:color="auto"/>
              <w:bottom w:val="single" w:sz="6" w:space="0" w:color="auto"/>
              <w:right w:val="single" w:sz="6" w:space="0" w:color="auto"/>
            </w:tcBorders>
            <w:vAlign w:val="center"/>
            <w:hideMark/>
          </w:tcPr>
          <w:p w14:paraId="27011FE9" w14:textId="77777777" w:rsidR="000C1E0E" w:rsidRDefault="000C1E0E" w:rsidP="0098752B">
            <w:pPr>
              <w:spacing w:line="240" w:lineRule="auto"/>
              <w:jc w:val="center"/>
              <w:rPr>
                <w:sz w:val="24"/>
                <w:szCs w:val="24"/>
              </w:rPr>
            </w:pPr>
            <w:r>
              <w:rPr>
                <w:sz w:val="24"/>
                <w:szCs w:val="24"/>
              </w:rPr>
              <w:t>B</w:t>
            </w:r>
          </w:p>
        </w:tc>
        <w:tc>
          <w:tcPr>
            <w:tcW w:w="1763" w:type="dxa"/>
            <w:tcBorders>
              <w:top w:val="single" w:sz="12" w:space="0" w:color="auto"/>
              <w:left w:val="single" w:sz="6" w:space="0" w:color="auto"/>
              <w:bottom w:val="single" w:sz="6" w:space="0" w:color="auto"/>
              <w:right w:val="single" w:sz="12" w:space="0" w:color="auto"/>
            </w:tcBorders>
            <w:vAlign w:val="center"/>
            <w:hideMark/>
          </w:tcPr>
          <w:p w14:paraId="71320768" w14:textId="77777777" w:rsidR="000C1E0E" w:rsidRDefault="000C1E0E" w:rsidP="0098752B">
            <w:pPr>
              <w:spacing w:line="240" w:lineRule="auto"/>
              <w:jc w:val="center"/>
              <w:rPr>
                <w:sz w:val="24"/>
                <w:szCs w:val="24"/>
              </w:rPr>
            </w:pPr>
            <w:r>
              <w:rPr>
                <w:sz w:val="24"/>
                <w:szCs w:val="24"/>
              </w:rPr>
              <w:t>(80; 100]</w:t>
            </w:r>
          </w:p>
        </w:tc>
      </w:tr>
      <w:tr w:rsidR="000C1E0E" w14:paraId="335A0019" w14:textId="77777777" w:rsidTr="0098752B">
        <w:trPr>
          <w:trHeight w:val="340"/>
          <w:jc w:val="center"/>
        </w:trPr>
        <w:tc>
          <w:tcPr>
            <w:tcW w:w="2267" w:type="dxa"/>
            <w:tcBorders>
              <w:top w:val="single" w:sz="6" w:space="0" w:color="auto"/>
              <w:left w:val="single" w:sz="12" w:space="0" w:color="auto"/>
              <w:bottom w:val="single" w:sz="6" w:space="0" w:color="auto"/>
              <w:right w:val="single" w:sz="6" w:space="0" w:color="auto"/>
            </w:tcBorders>
            <w:vAlign w:val="center"/>
            <w:hideMark/>
          </w:tcPr>
          <w:p w14:paraId="38E08F6B" w14:textId="77777777" w:rsidR="000C1E0E" w:rsidRDefault="000C1E0E" w:rsidP="0098752B">
            <w:pPr>
              <w:spacing w:line="240" w:lineRule="auto"/>
              <w:jc w:val="center"/>
              <w:rPr>
                <w:sz w:val="24"/>
                <w:szCs w:val="24"/>
              </w:rPr>
            </w:pPr>
            <w:r>
              <w:rPr>
                <w:sz w:val="24"/>
                <w:szCs w:val="24"/>
              </w:rPr>
              <w:t>B-</w:t>
            </w:r>
          </w:p>
        </w:tc>
        <w:tc>
          <w:tcPr>
            <w:tcW w:w="2032" w:type="dxa"/>
            <w:tcBorders>
              <w:top w:val="single" w:sz="6" w:space="0" w:color="auto"/>
              <w:left w:val="single" w:sz="6" w:space="0" w:color="auto"/>
              <w:bottom w:val="single" w:sz="6" w:space="0" w:color="auto"/>
              <w:right w:val="single" w:sz="6" w:space="0" w:color="auto"/>
            </w:tcBorders>
            <w:vAlign w:val="center"/>
            <w:hideMark/>
          </w:tcPr>
          <w:p w14:paraId="19EAD0B1" w14:textId="77777777" w:rsidR="000C1E0E" w:rsidRDefault="000C1E0E" w:rsidP="0098752B">
            <w:pPr>
              <w:spacing w:line="240" w:lineRule="auto"/>
              <w:jc w:val="center"/>
              <w:rPr>
                <w:sz w:val="24"/>
                <w:szCs w:val="24"/>
              </w:rPr>
            </w:pPr>
            <w:r>
              <w:rPr>
                <w:sz w:val="24"/>
                <w:szCs w:val="24"/>
              </w:rPr>
              <w:t>B-</w:t>
            </w:r>
          </w:p>
        </w:tc>
        <w:tc>
          <w:tcPr>
            <w:tcW w:w="1763" w:type="dxa"/>
            <w:tcBorders>
              <w:top w:val="single" w:sz="6" w:space="0" w:color="auto"/>
              <w:left w:val="single" w:sz="6" w:space="0" w:color="auto"/>
              <w:bottom w:val="single" w:sz="6" w:space="0" w:color="auto"/>
              <w:right w:val="single" w:sz="12" w:space="0" w:color="auto"/>
            </w:tcBorders>
            <w:vAlign w:val="center"/>
            <w:hideMark/>
          </w:tcPr>
          <w:p w14:paraId="6054E174" w14:textId="77777777" w:rsidR="000C1E0E" w:rsidRDefault="000C1E0E" w:rsidP="0098752B">
            <w:pPr>
              <w:spacing w:line="240" w:lineRule="auto"/>
              <w:jc w:val="center"/>
              <w:rPr>
                <w:sz w:val="24"/>
                <w:szCs w:val="24"/>
              </w:rPr>
            </w:pPr>
            <w:r>
              <w:rPr>
                <w:sz w:val="24"/>
                <w:szCs w:val="24"/>
              </w:rPr>
              <w:t>(60; 80]</w:t>
            </w:r>
          </w:p>
        </w:tc>
      </w:tr>
      <w:tr w:rsidR="000C1E0E" w14:paraId="5A857CAB" w14:textId="77777777" w:rsidTr="0098752B">
        <w:trPr>
          <w:trHeight w:val="340"/>
          <w:jc w:val="center"/>
        </w:trPr>
        <w:tc>
          <w:tcPr>
            <w:tcW w:w="2267" w:type="dxa"/>
            <w:tcBorders>
              <w:top w:val="single" w:sz="6" w:space="0" w:color="auto"/>
              <w:left w:val="single" w:sz="12" w:space="0" w:color="auto"/>
              <w:bottom w:val="single" w:sz="6" w:space="0" w:color="auto"/>
              <w:right w:val="single" w:sz="6" w:space="0" w:color="auto"/>
            </w:tcBorders>
            <w:vAlign w:val="center"/>
            <w:hideMark/>
          </w:tcPr>
          <w:p w14:paraId="1EC29A92" w14:textId="77777777" w:rsidR="000C1E0E" w:rsidRDefault="000C1E0E" w:rsidP="0098752B">
            <w:pPr>
              <w:spacing w:line="240" w:lineRule="auto"/>
              <w:jc w:val="center"/>
              <w:rPr>
                <w:sz w:val="24"/>
                <w:szCs w:val="24"/>
              </w:rPr>
            </w:pPr>
            <w:r>
              <w:rPr>
                <w:sz w:val="24"/>
                <w:szCs w:val="24"/>
              </w:rPr>
              <w:t>CCC</w:t>
            </w:r>
          </w:p>
        </w:tc>
        <w:tc>
          <w:tcPr>
            <w:tcW w:w="2032" w:type="dxa"/>
            <w:tcBorders>
              <w:top w:val="single" w:sz="6" w:space="0" w:color="auto"/>
              <w:left w:val="single" w:sz="6" w:space="0" w:color="auto"/>
              <w:bottom w:val="single" w:sz="6" w:space="0" w:color="auto"/>
              <w:right w:val="single" w:sz="6" w:space="0" w:color="auto"/>
            </w:tcBorders>
            <w:vAlign w:val="center"/>
            <w:hideMark/>
          </w:tcPr>
          <w:p w14:paraId="2AB0A490" w14:textId="77777777" w:rsidR="000C1E0E" w:rsidRDefault="000C1E0E" w:rsidP="0098752B">
            <w:pPr>
              <w:spacing w:line="240" w:lineRule="auto"/>
              <w:jc w:val="center"/>
              <w:rPr>
                <w:sz w:val="24"/>
                <w:szCs w:val="24"/>
              </w:rPr>
            </w:pPr>
            <w:r>
              <w:rPr>
                <w:sz w:val="24"/>
                <w:szCs w:val="24"/>
              </w:rPr>
              <w:t>CCC</w:t>
            </w:r>
          </w:p>
        </w:tc>
        <w:tc>
          <w:tcPr>
            <w:tcW w:w="1763" w:type="dxa"/>
            <w:tcBorders>
              <w:top w:val="single" w:sz="6" w:space="0" w:color="auto"/>
              <w:left w:val="single" w:sz="6" w:space="0" w:color="auto"/>
              <w:bottom w:val="single" w:sz="6" w:space="0" w:color="auto"/>
              <w:right w:val="single" w:sz="12" w:space="0" w:color="auto"/>
            </w:tcBorders>
            <w:vAlign w:val="center"/>
            <w:hideMark/>
          </w:tcPr>
          <w:p w14:paraId="55A5F3C4" w14:textId="77777777" w:rsidR="000C1E0E" w:rsidRDefault="000C1E0E" w:rsidP="0098752B">
            <w:pPr>
              <w:spacing w:line="240" w:lineRule="auto"/>
              <w:jc w:val="center"/>
              <w:rPr>
                <w:sz w:val="24"/>
                <w:szCs w:val="24"/>
              </w:rPr>
            </w:pPr>
            <w:r>
              <w:rPr>
                <w:sz w:val="24"/>
                <w:szCs w:val="24"/>
              </w:rPr>
              <w:t>(40; 60]</w:t>
            </w:r>
          </w:p>
        </w:tc>
      </w:tr>
      <w:tr w:rsidR="000C1E0E" w14:paraId="22706913" w14:textId="77777777" w:rsidTr="0098752B">
        <w:trPr>
          <w:trHeight w:val="340"/>
          <w:jc w:val="center"/>
        </w:trPr>
        <w:tc>
          <w:tcPr>
            <w:tcW w:w="2267" w:type="dxa"/>
            <w:tcBorders>
              <w:top w:val="single" w:sz="6" w:space="0" w:color="auto"/>
              <w:left w:val="single" w:sz="12" w:space="0" w:color="auto"/>
              <w:bottom w:val="single" w:sz="6" w:space="0" w:color="auto"/>
              <w:right w:val="single" w:sz="6" w:space="0" w:color="auto"/>
            </w:tcBorders>
            <w:vAlign w:val="center"/>
            <w:hideMark/>
          </w:tcPr>
          <w:p w14:paraId="4E0C9D7D" w14:textId="77777777" w:rsidR="000C1E0E" w:rsidRDefault="000C1E0E" w:rsidP="0098752B">
            <w:pPr>
              <w:spacing w:line="240" w:lineRule="auto"/>
              <w:jc w:val="center"/>
              <w:rPr>
                <w:sz w:val="24"/>
                <w:szCs w:val="24"/>
              </w:rPr>
            </w:pPr>
            <w:r>
              <w:rPr>
                <w:sz w:val="24"/>
                <w:szCs w:val="24"/>
              </w:rPr>
              <w:t>CC</w:t>
            </w:r>
          </w:p>
        </w:tc>
        <w:tc>
          <w:tcPr>
            <w:tcW w:w="2032" w:type="dxa"/>
            <w:tcBorders>
              <w:top w:val="single" w:sz="6" w:space="0" w:color="auto"/>
              <w:left w:val="single" w:sz="6" w:space="0" w:color="auto"/>
              <w:bottom w:val="single" w:sz="6" w:space="0" w:color="auto"/>
              <w:right w:val="single" w:sz="6" w:space="0" w:color="auto"/>
            </w:tcBorders>
            <w:vAlign w:val="center"/>
            <w:hideMark/>
          </w:tcPr>
          <w:p w14:paraId="5502976E" w14:textId="77777777" w:rsidR="000C1E0E" w:rsidRDefault="000C1E0E" w:rsidP="0098752B">
            <w:pPr>
              <w:spacing w:line="240" w:lineRule="auto"/>
              <w:jc w:val="center"/>
              <w:rPr>
                <w:sz w:val="24"/>
                <w:szCs w:val="24"/>
              </w:rPr>
            </w:pPr>
            <w:r>
              <w:rPr>
                <w:sz w:val="24"/>
                <w:szCs w:val="24"/>
              </w:rPr>
              <w:t>CC</w:t>
            </w:r>
          </w:p>
        </w:tc>
        <w:tc>
          <w:tcPr>
            <w:tcW w:w="1763" w:type="dxa"/>
            <w:tcBorders>
              <w:top w:val="single" w:sz="6" w:space="0" w:color="auto"/>
              <w:left w:val="single" w:sz="6" w:space="0" w:color="auto"/>
              <w:bottom w:val="single" w:sz="6" w:space="0" w:color="auto"/>
              <w:right w:val="single" w:sz="12" w:space="0" w:color="auto"/>
            </w:tcBorders>
            <w:vAlign w:val="center"/>
            <w:hideMark/>
          </w:tcPr>
          <w:p w14:paraId="5F783AB0" w14:textId="77777777" w:rsidR="000C1E0E" w:rsidRDefault="000C1E0E" w:rsidP="0098752B">
            <w:pPr>
              <w:spacing w:line="240" w:lineRule="auto"/>
              <w:jc w:val="center"/>
              <w:rPr>
                <w:sz w:val="24"/>
                <w:szCs w:val="24"/>
              </w:rPr>
            </w:pPr>
            <w:r>
              <w:rPr>
                <w:sz w:val="24"/>
                <w:szCs w:val="24"/>
              </w:rPr>
              <w:t>(20; 40]</w:t>
            </w:r>
          </w:p>
        </w:tc>
      </w:tr>
      <w:tr w:rsidR="000C1E0E" w14:paraId="10882E71" w14:textId="77777777" w:rsidTr="0098752B">
        <w:trPr>
          <w:trHeight w:val="340"/>
          <w:jc w:val="center"/>
        </w:trPr>
        <w:tc>
          <w:tcPr>
            <w:tcW w:w="2267" w:type="dxa"/>
            <w:tcBorders>
              <w:top w:val="single" w:sz="6" w:space="0" w:color="auto"/>
              <w:left w:val="single" w:sz="12" w:space="0" w:color="auto"/>
              <w:bottom w:val="single" w:sz="12" w:space="0" w:color="auto"/>
              <w:right w:val="single" w:sz="6" w:space="0" w:color="auto"/>
            </w:tcBorders>
            <w:vAlign w:val="center"/>
            <w:hideMark/>
          </w:tcPr>
          <w:p w14:paraId="4D7BD066" w14:textId="77777777" w:rsidR="000C1E0E" w:rsidRDefault="000C1E0E" w:rsidP="0098752B">
            <w:pPr>
              <w:spacing w:line="240" w:lineRule="auto"/>
              <w:jc w:val="center"/>
              <w:rPr>
                <w:sz w:val="24"/>
                <w:szCs w:val="24"/>
              </w:rPr>
            </w:pPr>
            <w:r>
              <w:rPr>
                <w:sz w:val="24"/>
                <w:szCs w:val="24"/>
              </w:rPr>
              <w:t>C</w:t>
            </w:r>
          </w:p>
        </w:tc>
        <w:tc>
          <w:tcPr>
            <w:tcW w:w="2032" w:type="dxa"/>
            <w:tcBorders>
              <w:top w:val="single" w:sz="6" w:space="0" w:color="auto"/>
              <w:left w:val="single" w:sz="6" w:space="0" w:color="auto"/>
              <w:bottom w:val="single" w:sz="12" w:space="0" w:color="auto"/>
              <w:right w:val="single" w:sz="6" w:space="0" w:color="auto"/>
            </w:tcBorders>
            <w:vAlign w:val="center"/>
            <w:hideMark/>
          </w:tcPr>
          <w:p w14:paraId="21F6B25F" w14:textId="77777777" w:rsidR="000C1E0E" w:rsidRDefault="000C1E0E" w:rsidP="0098752B">
            <w:pPr>
              <w:spacing w:line="240" w:lineRule="auto"/>
              <w:jc w:val="center"/>
              <w:rPr>
                <w:sz w:val="24"/>
                <w:szCs w:val="24"/>
              </w:rPr>
            </w:pPr>
            <w:r>
              <w:rPr>
                <w:sz w:val="24"/>
                <w:szCs w:val="24"/>
              </w:rPr>
              <w:t>C</w:t>
            </w:r>
          </w:p>
        </w:tc>
        <w:tc>
          <w:tcPr>
            <w:tcW w:w="1763" w:type="dxa"/>
            <w:tcBorders>
              <w:top w:val="single" w:sz="6" w:space="0" w:color="auto"/>
              <w:left w:val="single" w:sz="6" w:space="0" w:color="auto"/>
              <w:bottom w:val="single" w:sz="12" w:space="0" w:color="auto"/>
              <w:right w:val="single" w:sz="12" w:space="0" w:color="auto"/>
            </w:tcBorders>
            <w:vAlign w:val="center"/>
            <w:hideMark/>
          </w:tcPr>
          <w:p w14:paraId="1025ADC6" w14:textId="77777777" w:rsidR="000C1E0E" w:rsidRDefault="000C1E0E" w:rsidP="0098752B">
            <w:pPr>
              <w:spacing w:line="240" w:lineRule="auto"/>
              <w:jc w:val="center"/>
              <w:rPr>
                <w:sz w:val="24"/>
                <w:szCs w:val="24"/>
              </w:rPr>
            </w:pPr>
            <w:r>
              <w:rPr>
                <w:sz w:val="24"/>
                <w:szCs w:val="24"/>
              </w:rPr>
              <w:t>[0; 20]</w:t>
            </w:r>
          </w:p>
        </w:tc>
      </w:tr>
    </w:tbl>
    <w:p w14:paraId="536A70A7" w14:textId="77777777" w:rsidR="000C1E0E" w:rsidRDefault="000C1E0E" w:rsidP="000C1E0E">
      <w:pPr>
        <w:autoSpaceDE w:val="0"/>
        <w:autoSpaceDN w:val="0"/>
        <w:spacing w:line="240" w:lineRule="auto"/>
        <w:rPr>
          <w:sz w:val="24"/>
          <w:szCs w:val="24"/>
        </w:rPr>
      </w:pPr>
    </w:p>
    <w:p w14:paraId="35709B13" w14:textId="77777777" w:rsidR="000C1E0E" w:rsidRDefault="000C1E0E" w:rsidP="000C1E0E">
      <w:pPr>
        <w:autoSpaceDN w:val="0"/>
        <w:spacing w:line="360" w:lineRule="auto"/>
        <w:ind w:firstLine="567"/>
        <w:rPr>
          <w:sz w:val="24"/>
          <w:szCs w:val="24"/>
        </w:rPr>
      </w:pPr>
    </w:p>
    <w:p w14:paraId="3BF9EAAA" w14:textId="77777777" w:rsidR="000C1E0E" w:rsidRDefault="000C1E0E" w:rsidP="000C1E0E">
      <w:pPr>
        <w:autoSpaceDN w:val="0"/>
        <w:spacing w:line="360" w:lineRule="auto"/>
        <w:ind w:firstLine="567"/>
        <w:rPr>
          <w:sz w:val="24"/>
          <w:szCs w:val="24"/>
        </w:rPr>
      </w:pPr>
    </w:p>
    <w:p w14:paraId="7DAC4F86" w14:textId="77777777" w:rsidR="000C1E0E" w:rsidRDefault="000C1E0E" w:rsidP="000C1E0E">
      <w:pPr>
        <w:spacing w:line="360" w:lineRule="auto"/>
        <w:ind w:left="709"/>
        <w:rPr>
          <w:b/>
          <w:sz w:val="24"/>
          <w:szCs w:val="24"/>
        </w:rPr>
      </w:pPr>
      <w:r>
        <w:rPr>
          <w:b/>
          <w:sz w:val="24"/>
          <w:szCs w:val="24"/>
        </w:rPr>
        <w:t>Метод 2</w:t>
      </w:r>
    </w:p>
    <w:p w14:paraId="5673CABA" w14:textId="77777777" w:rsidR="000C1E0E" w:rsidRDefault="000C1E0E" w:rsidP="000C1E0E">
      <w:pPr>
        <w:autoSpaceDN w:val="0"/>
        <w:spacing w:line="360" w:lineRule="auto"/>
        <w:ind w:left="567" w:firstLine="567"/>
        <w:rPr>
          <w:rFonts w:eastAsia="Batang"/>
          <w:sz w:val="24"/>
          <w:szCs w:val="24"/>
        </w:rPr>
      </w:pPr>
      <w:r>
        <w:rPr>
          <w:rFonts w:eastAsia="Batang"/>
          <w:b/>
          <w:sz w:val="24"/>
          <w:szCs w:val="24"/>
        </w:rPr>
        <w:t>Справедливая стоимость актива, сроком погашения меньше 1 года</w:t>
      </w:r>
      <w:r>
        <w:rPr>
          <w:rFonts w:eastAsia="Batang"/>
          <w:sz w:val="24"/>
          <w:szCs w:val="24"/>
        </w:rPr>
        <w:t xml:space="preserve"> (за исключением ценных бумаг)  </w:t>
      </w:r>
      <m:oMath>
        <m:sSub>
          <m:sSubPr>
            <m:ctrlPr>
              <w:rPr>
                <w:rFonts w:ascii="Cambria Math" w:eastAsia="Batang" w:hAnsi="Cambria Math"/>
                <w:i/>
                <w:sz w:val="24"/>
                <w:szCs w:val="24"/>
              </w:rPr>
            </m:ctrlPr>
          </m:sSubPr>
          <m:e>
            <m:r>
              <w:rPr>
                <w:rFonts w:ascii="Cambria Math" w:eastAsia="Batang" w:hAnsi="Cambria Math"/>
                <w:sz w:val="24"/>
                <w:szCs w:val="24"/>
              </w:rPr>
              <m:t>PV</m:t>
            </m:r>
          </m:e>
          <m:sub>
            <m:r>
              <w:rPr>
                <w:rFonts w:ascii="Cambria Math" w:eastAsia="Batang" w:hAnsi="Cambria Math"/>
                <w:sz w:val="24"/>
                <w:szCs w:val="24"/>
              </w:rPr>
              <m:t>dev</m:t>
            </m:r>
          </m:sub>
        </m:sSub>
      </m:oMath>
      <w:r>
        <w:rPr>
          <w:rFonts w:eastAsia="Batang"/>
          <w:sz w:val="24"/>
          <w:szCs w:val="24"/>
        </w:rPr>
        <w:t xml:space="preserve"> определяется по формуле:</w:t>
      </w:r>
    </w:p>
    <w:p w14:paraId="333535EF" w14:textId="77777777" w:rsidR="000C1E0E" w:rsidRDefault="00C74876" w:rsidP="000C1E0E">
      <w:pPr>
        <w:spacing w:line="360" w:lineRule="auto"/>
        <w:ind w:left="567" w:firstLine="567"/>
        <w:rPr>
          <w:b/>
          <w:i/>
          <w:sz w:val="24"/>
          <w:szCs w:val="24"/>
        </w:rPr>
      </w:pPr>
      <m:oMathPara>
        <m:oMath>
          <m:sSub>
            <m:sSubPr>
              <m:ctrlPr>
                <w:rPr>
                  <w:rFonts w:ascii="Cambria Math" w:eastAsia="Batang" w:hAnsi="Cambria Math"/>
                  <w:b/>
                  <w:i/>
                  <w:sz w:val="24"/>
                  <w:szCs w:val="24"/>
                </w:rPr>
              </m:ctrlPr>
            </m:sSubPr>
            <m:e>
              <m:r>
                <m:rPr>
                  <m:sty m:val="bi"/>
                </m:rPr>
                <w:rPr>
                  <w:rFonts w:ascii="Cambria Math" w:eastAsia="Batang" w:hAnsi="Cambria Math"/>
                  <w:sz w:val="24"/>
                  <w:szCs w:val="24"/>
                </w:rPr>
                <m:t>PV</m:t>
              </m:r>
            </m:e>
            <m:sub>
              <m:r>
                <m:rPr>
                  <m:sty m:val="bi"/>
                </m:rPr>
                <w:rPr>
                  <w:rFonts w:ascii="Cambria Math" w:eastAsia="Batang" w:hAnsi="Cambria Math"/>
                  <w:sz w:val="24"/>
                  <w:szCs w:val="24"/>
                </w:rPr>
                <m:t>dev</m:t>
              </m:r>
            </m:sub>
          </m:sSub>
          <m:r>
            <m:rPr>
              <m:sty m:val="bi"/>
            </m:rPr>
            <w:rPr>
              <w:rFonts w:ascii="Cambria Math" w:eastAsia="Batang"/>
              <w:sz w:val="24"/>
              <w:szCs w:val="24"/>
            </w:rPr>
            <m:t>=</m:t>
          </m:r>
          <m:sSub>
            <m:sSubPr>
              <m:ctrlPr>
                <w:rPr>
                  <w:rFonts w:ascii="Cambria Math" w:eastAsia="Batang" w:hAnsi="Cambria Math"/>
                  <w:b/>
                  <w:i/>
                  <w:sz w:val="24"/>
                  <w:szCs w:val="24"/>
                  <w:lang w:val="en-US"/>
                </w:rPr>
              </m:ctrlPr>
            </m:sSubPr>
            <m:e>
              <m:r>
                <m:rPr>
                  <m:sty m:val="bi"/>
                </m:rPr>
                <w:rPr>
                  <w:rFonts w:ascii="Cambria Math" w:eastAsia="Batang" w:hAnsi="Cambria Math"/>
                  <w:sz w:val="24"/>
                  <w:szCs w:val="24"/>
                  <w:lang w:val="en-US"/>
                </w:rPr>
                <m:t>PV</m:t>
              </m:r>
            </m:e>
            <m:sub>
              <m:r>
                <m:rPr>
                  <m:sty m:val="bi"/>
                </m:rPr>
                <w:rPr>
                  <w:rFonts w:ascii="Cambria Math" w:eastAsia="Batang" w:hAnsi="Cambria Math"/>
                  <w:sz w:val="24"/>
                  <w:szCs w:val="24"/>
                  <w:lang w:val="en-US"/>
                </w:rPr>
                <m:t>f</m:t>
              </m:r>
            </m:sub>
          </m:sSub>
          <m:r>
            <m:rPr>
              <m:sty m:val="bi"/>
            </m:rPr>
            <w:rPr>
              <w:rFonts w:ascii="Cambria Math" w:eastAsia="Batang" w:hAnsi="Cambria Math"/>
              <w:sz w:val="24"/>
              <w:szCs w:val="24"/>
              <w:lang w:val="en-US"/>
            </w:rPr>
            <m:t>-ECL</m:t>
          </m:r>
        </m:oMath>
      </m:oMathPara>
    </w:p>
    <w:p w14:paraId="1B62EF0A" w14:textId="77777777" w:rsidR="000C1E0E" w:rsidRDefault="000C1E0E" w:rsidP="000C1E0E">
      <w:pPr>
        <w:spacing w:line="360" w:lineRule="auto"/>
        <w:ind w:left="567"/>
        <w:rPr>
          <w:i/>
          <w:sz w:val="24"/>
          <w:szCs w:val="24"/>
        </w:rPr>
      </w:pPr>
      <w:r>
        <w:rPr>
          <w:i/>
          <w:sz w:val="24"/>
          <w:szCs w:val="24"/>
        </w:rPr>
        <w:t>где</w:t>
      </w:r>
    </w:p>
    <w:p w14:paraId="3D79049C" w14:textId="77777777" w:rsidR="000C1E0E" w:rsidRDefault="00C74876" w:rsidP="000C1E0E">
      <w:pPr>
        <w:pStyle w:val="12"/>
        <w:tabs>
          <w:tab w:val="left" w:pos="993"/>
        </w:tabs>
        <w:spacing w:before="120" w:line="276" w:lineRule="auto"/>
        <w:ind w:left="567"/>
        <w:jc w:val="both"/>
        <w:rPr>
          <w:rFonts w:eastAsia="Batang"/>
          <w:szCs w:val="24"/>
        </w:rPr>
      </w:pPr>
      <m:oMath>
        <m:sSub>
          <m:sSubPr>
            <m:ctrlPr>
              <w:rPr>
                <w:rFonts w:ascii="Cambria Math" w:eastAsia="Batang" w:hAnsi="Cambria Math"/>
                <w:i/>
                <w:szCs w:val="24"/>
              </w:rPr>
            </m:ctrlPr>
          </m:sSubPr>
          <m:e>
            <m:r>
              <w:rPr>
                <w:rFonts w:ascii="Cambria Math" w:eastAsia="Batang" w:hAnsi="Cambria Math"/>
                <w:szCs w:val="24"/>
              </w:rPr>
              <m:t>PV</m:t>
            </m:r>
          </m:e>
          <m:sub>
            <m:r>
              <w:rPr>
                <w:rFonts w:ascii="Cambria Math" w:eastAsia="Batang" w:hAnsi="Cambria Math"/>
                <w:szCs w:val="24"/>
              </w:rPr>
              <m:t>f</m:t>
            </m:r>
          </m:sub>
        </m:sSub>
        <m:r>
          <w:rPr>
            <w:rFonts w:ascii="Cambria Math" w:eastAsia="Batang"/>
            <w:szCs w:val="24"/>
          </w:rPr>
          <m:t xml:space="preserve"> </m:t>
        </m:r>
      </m:oMath>
      <w:r w:rsidR="000C1E0E">
        <w:rPr>
          <w:rFonts w:eastAsia="Batang"/>
          <w:szCs w:val="24"/>
        </w:rPr>
        <w:t>– стоимость актива (обязательства) без учета кредитного риска.</w:t>
      </w:r>
    </w:p>
    <w:p w14:paraId="66B2B46E" w14:textId="77777777" w:rsidR="000C1E0E" w:rsidRDefault="000C1E0E" w:rsidP="000C1E0E">
      <w:pPr>
        <w:spacing w:line="360" w:lineRule="auto"/>
        <w:ind w:left="567" w:firstLine="567"/>
        <w:rPr>
          <w:sz w:val="24"/>
          <w:szCs w:val="24"/>
        </w:rPr>
      </w:pPr>
      <w:r>
        <w:rPr>
          <w:sz w:val="24"/>
          <w:szCs w:val="24"/>
        </w:rPr>
        <w:t xml:space="preserve">Оценка </w:t>
      </w:r>
      <w:r>
        <w:rPr>
          <w:b/>
          <w:sz w:val="24"/>
          <w:szCs w:val="24"/>
        </w:rPr>
        <w:t>кредитного риска</w:t>
      </w:r>
      <w:r>
        <w:rPr>
          <w:sz w:val="24"/>
          <w:szCs w:val="24"/>
        </w:rPr>
        <w:t xml:space="preserve"> определяется с применением модели ожидаемых кредитных убытков (ECL): </w:t>
      </w:r>
    </w:p>
    <w:p w14:paraId="70C0BF0B" w14:textId="77777777" w:rsidR="000C1E0E" w:rsidRDefault="000C1E0E" w:rsidP="000C1E0E">
      <w:pPr>
        <w:spacing w:line="360" w:lineRule="auto"/>
        <w:ind w:left="567" w:firstLine="567"/>
        <w:jc w:val="center"/>
        <w:rPr>
          <w:b/>
          <w:sz w:val="24"/>
          <w:szCs w:val="24"/>
          <w:lang w:val="en-US"/>
        </w:rPr>
      </w:pPr>
      <w:r>
        <w:rPr>
          <w:b/>
          <w:sz w:val="24"/>
          <w:szCs w:val="24"/>
          <w:lang w:val="en-US"/>
        </w:rPr>
        <w:t>ECL = EAD * PD * LGD</w:t>
      </w:r>
    </w:p>
    <w:p w14:paraId="2D6DF618" w14:textId="77777777" w:rsidR="000C1E0E" w:rsidRDefault="000C1E0E" w:rsidP="000C1E0E">
      <w:pPr>
        <w:spacing w:line="360" w:lineRule="auto"/>
        <w:ind w:left="567" w:firstLine="567"/>
        <w:rPr>
          <w:i/>
          <w:sz w:val="24"/>
          <w:szCs w:val="24"/>
          <w:lang w:val="en-US"/>
        </w:rPr>
      </w:pPr>
      <w:r>
        <w:rPr>
          <w:i/>
          <w:sz w:val="24"/>
          <w:szCs w:val="24"/>
        </w:rPr>
        <w:t>где</w:t>
      </w:r>
      <w:r>
        <w:rPr>
          <w:i/>
          <w:sz w:val="24"/>
          <w:szCs w:val="24"/>
          <w:lang w:val="en-US"/>
        </w:rPr>
        <w:t>:</w:t>
      </w:r>
    </w:p>
    <w:p w14:paraId="6E86BC2D" w14:textId="77777777" w:rsidR="000C1E0E" w:rsidRDefault="000C1E0E" w:rsidP="000C1E0E">
      <w:pPr>
        <w:spacing w:line="360" w:lineRule="auto"/>
        <w:ind w:left="567"/>
        <w:rPr>
          <w:sz w:val="24"/>
          <w:szCs w:val="24"/>
        </w:rPr>
      </w:pPr>
      <w:r>
        <w:rPr>
          <w:sz w:val="24"/>
          <w:szCs w:val="24"/>
        </w:rPr>
        <w:t>ECL (expected credit losses) – величина кредитных убытков, корректирующая денежные потоки, приведенная к моменту оценки.</w:t>
      </w:r>
    </w:p>
    <w:p w14:paraId="41EDF2CC" w14:textId="77777777" w:rsidR="000C1E0E" w:rsidRDefault="000C1E0E" w:rsidP="000C1E0E">
      <w:pPr>
        <w:autoSpaceDN w:val="0"/>
        <w:spacing w:line="360" w:lineRule="auto"/>
        <w:ind w:left="567"/>
        <w:rPr>
          <w:sz w:val="24"/>
          <w:szCs w:val="24"/>
        </w:rPr>
      </w:pPr>
      <w:r>
        <w:rPr>
          <w:sz w:val="24"/>
          <w:szCs w:val="24"/>
        </w:rPr>
        <w:t>EAD (Exposure at Default; сумма, подверженная кредитному риску) — общий объём обязательств контрагента на момент оценки (например, сумма вложений в банковские вклады (депозиты) и неснижаемые остатки на расчетных счетах, сумма выданного займа).</w:t>
      </w:r>
    </w:p>
    <w:p w14:paraId="60885DE4" w14:textId="77777777" w:rsidR="000C1E0E" w:rsidRDefault="000C1E0E" w:rsidP="000C1E0E">
      <w:pPr>
        <w:pStyle w:val="afc"/>
        <w:spacing w:before="120"/>
        <w:jc w:val="both"/>
        <w:rPr>
          <w:rFonts w:ascii="Times New Roman" w:hAnsi="Times New Roman"/>
          <w:sz w:val="24"/>
          <w:szCs w:val="24"/>
        </w:rPr>
      </w:pPr>
      <w:r>
        <w:rPr>
          <w:rFonts w:ascii="Times New Roman" w:hAnsi="Times New Roman"/>
          <w:sz w:val="24"/>
          <w:szCs w:val="24"/>
        </w:rPr>
        <w:t>Величина PD  и LGD определяется способом, указанном  в Методе 1.</w:t>
      </w:r>
    </w:p>
    <w:p w14:paraId="6A86CF3D" w14:textId="77777777" w:rsidR="000C1E0E" w:rsidRDefault="000C1E0E" w:rsidP="000C1E0E">
      <w:pPr>
        <w:pStyle w:val="afc"/>
        <w:spacing w:before="120"/>
        <w:jc w:val="both"/>
        <w:rPr>
          <w:rFonts w:ascii="Times New Roman" w:hAnsi="Times New Roman"/>
          <w:sz w:val="24"/>
          <w:szCs w:val="24"/>
        </w:rPr>
      </w:pPr>
      <w:r>
        <w:rPr>
          <w:rFonts w:ascii="Times New Roman" w:hAnsi="Times New Roman"/>
          <w:sz w:val="24"/>
          <w:szCs w:val="24"/>
        </w:rPr>
        <w:t>В случае возникновения фактической просрочки исполнения обязательства контрагентом/эмитентом сроком меньше 90 дней, актив обесценивается, исходя из методики расчета справедливой стоимости актива, сроком погашения меньше 1 года (Метод 2)</w:t>
      </w:r>
    </w:p>
    <w:p w14:paraId="50C94814" w14:textId="77777777" w:rsidR="000C1E0E" w:rsidRDefault="000C1E0E" w:rsidP="000C1E0E">
      <w:pPr>
        <w:pStyle w:val="afc"/>
        <w:spacing w:before="120"/>
        <w:jc w:val="both"/>
        <w:rPr>
          <w:rFonts w:ascii="Times New Roman" w:hAnsi="Times New Roman"/>
          <w:sz w:val="24"/>
          <w:szCs w:val="24"/>
        </w:rPr>
      </w:pPr>
      <w:r>
        <w:rPr>
          <w:rFonts w:ascii="Times New Roman" w:hAnsi="Times New Roman"/>
          <w:sz w:val="24"/>
          <w:szCs w:val="24"/>
        </w:rPr>
        <w:t xml:space="preserve">В случае возникновения фактической просрочки исполнения обязательства контрагентом/эмитентом сроком 90 дней и более, справедливая стоимость обязательств контрагента по договору, по которому допущена просрочка исполнения обязательств, в том числе вновь образуемых, признается равной 0. </w:t>
      </w:r>
    </w:p>
    <w:p w14:paraId="54DEF6D7" w14:textId="77777777" w:rsidR="000C1E0E" w:rsidRDefault="000C1E0E" w:rsidP="000C1E0E">
      <w:pPr>
        <w:spacing w:line="240" w:lineRule="auto"/>
        <w:jc w:val="left"/>
        <w:rPr>
          <w:rFonts w:ascii="Times New Roman" w:hAnsi="Times New Roman"/>
          <w:sz w:val="24"/>
          <w:szCs w:val="24"/>
          <w:lang w:eastAsia="en-US"/>
        </w:rPr>
      </w:pPr>
      <w:r>
        <w:rPr>
          <w:rFonts w:ascii="Times New Roman" w:hAnsi="Times New Roman"/>
          <w:sz w:val="24"/>
          <w:szCs w:val="24"/>
        </w:rPr>
        <w:br w:type="page"/>
      </w:r>
    </w:p>
    <w:p w14:paraId="7333AF0D" w14:textId="77777777" w:rsidR="000C1E0E" w:rsidRDefault="000C1E0E" w:rsidP="000C1E0E">
      <w:pPr>
        <w:tabs>
          <w:tab w:val="left" w:pos="3069"/>
        </w:tabs>
        <w:jc w:val="right"/>
        <w:rPr>
          <w:rFonts w:ascii="Times New Roman" w:eastAsia="Calibri" w:hAnsi="Times New Roman"/>
          <w:sz w:val="24"/>
          <w:szCs w:val="24"/>
        </w:rPr>
      </w:pPr>
      <w:r>
        <w:rPr>
          <w:rFonts w:ascii="Times New Roman" w:eastAsia="Calibri" w:hAnsi="Times New Roman"/>
          <w:sz w:val="24"/>
          <w:szCs w:val="24"/>
        </w:rPr>
        <w:t>Приложение №3</w:t>
      </w:r>
    </w:p>
    <w:p w14:paraId="20CF6D5A" w14:textId="77777777" w:rsidR="000C1E0E" w:rsidRDefault="000C1E0E" w:rsidP="000C1E0E">
      <w:pPr>
        <w:tabs>
          <w:tab w:val="left" w:pos="3069"/>
        </w:tabs>
        <w:jc w:val="right"/>
        <w:rPr>
          <w:rFonts w:ascii="Times New Roman" w:eastAsia="Calibri" w:hAnsi="Times New Roman"/>
          <w:sz w:val="24"/>
          <w:szCs w:val="24"/>
        </w:rPr>
      </w:pPr>
      <w:r>
        <w:rPr>
          <w:rFonts w:ascii="Times New Roman" w:eastAsia="Calibri" w:hAnsi="Times New Roman"/>
          <w:sz w:val="24"/>
          <w:szCs w:val="24"/>
        </w:rPr>
        <w:t>к Правилам</w:t>
      </w:r>
      <w:r>
        <w:rPr>
          <w:rFonts w:ascii="Times New Roman" w:hAnsi="Times New Roman"/>
          <w:sz w:val="24"/>
          <w:szCs w:val="24"/>
        </w:rPr>
        <w:t xml:space="preserve"> определения </w:t>
      </w:r>
      <w:r>
        <w:rPr>
          <w:rFonts w:ascii="Times New Roman" w:eastAsia="Calibri" w:hAnsi="Times New Roman"/>
          <w:sz w:val="24"/>
          <w:szCs w:val="24"/>
        </w:rPr>
        <w:t>СЧА</w:t>
      </w:r>
    </w:p>
    <w:p w14:paraId="50A2D143" w14:textId="77777777" w:rsidR="000C1E0E" w:rsidRDefault="000C1E0E" w:rsidP="000C1E0E">
      <w:pPr>
        <w:tabs>
          <w:tab w:val="left" w:pos="3069"/>
        </w:tabs>
        <w:jc w:val="right"/>
        <w:rPr>
          <w:rFonts w:ascii="Times New Roman" w:eastAsia="Calibri" w:hAnsi="Times New Roman"/>
          <w:sz w:val="24"/>
          <w:szCs w:val="24"/>
        </w:rPr>
      </w:pPr>
    </w:p>
    <w:p w14:paraId="1142E0B1" w14:textId="77777777" w:rsidR="000C1E0E" w:rsidRDefault="000C1E0E" w:rsidP="000C1E0E">
      <w:pPr>
        <w:jc w:val="center"/>
        <w:rPr>
          <w:b/>
          <w:sz w:val="24"/>
          <w:szCs w:val="24"/>
        </w:rPr>
      </w:pPr>
      <w:r>
        <w:rPr>
          <w:b/>
          <w:sz w:val="24"/>
          <w:szCs w:val="24"/>
        </w:rPr>
        <w:t>Порядок расчета денежных потоков облигации с неопределенным купоном в будущем в случае отсутствия цены 1 уровня</w:t>
      </w:r>
    </w:p>
    <w:p w14:paraId="4DB2A89D" w14:textId="77777777" w:rsidR="000C1E0E" w:rsidRDefault="000C1E0E" w:rsidP="000C1E0E">
      <w:pPr>
        <w:jc w:val="center"/>
        <w:rPr>
          <w:b/>
          <w:sz w:val="24"/>
          <w:szCs w:val="24"/>
        </w:rPr>
      </w:pPr>
    </w:p>
    <w:p w14:paraId="59FB5F5B" w14:textId="77777777" w:rsidR="000C1E0E" w:rsidRDefault="000C1E0E" w:rsidP="000C1E0E">
      <w:pPr>
        <w:ind w:firstLine="426"/>
        <w:rPr>
          <w:sz w:val="24"/>
          <w:szCs w:val="24"/>
        </w:rPr>
      </w:pPr>
      <w:r>
        <w:rPr>
          <w:sz w:val="24"/>
          <w:szCs w:val="24"/>
        </w:rPr>
        <w:t>По облигациям с переменным купоном для оценки будущих денежных потоков, величина которых не определена на момент оценки, используются различные подходы для двух случаев:</w:t>
      </w:r>
    </w:p>
    <w:p w14:paraId="1B861B79" w14:textId="77777777" w:rsidR="000C1E0E" w:rsidRDefault="000C1E0E" w:rsidP="000C1E0E">
      <w:pPr>
        <w:pStyle w:val="afc"/>
        <w:numPr>
          <w:ilvl w:val="0"/>
          <w:numId w:val="17"/>
        </w:numPr>
        <w:rPr>
          <w:rFonts w:ascii="Times New Roman" w:hAnsi="Times New Roman"/>
          <w:sz w:val="24"/>
          <w:szCs w:val="24"/>
        </w:rPr>
      </w:pPr>
      <w:r>
        <w:rPr>
          <w:rFonts w:ascii="Times New Roman" w:hAnsi="Times New Roman"/>
          <w:sz w:val="24"/>
          <w:szCs w:val="24"/>
        </w:rPr>
        <w:t>по выпуску/эмитенту не происходило резкого изменения кредитного качества;</w:t>
      </w:r>
    </w:p>
    <w:p w14:paraId="02D8BCA3" w14:textId="77777777" w:rsidR="000C1E0E" w:rsidRDefault="000C1E0E" w:rsidP="000C1E0E">
      <w:pPr>
        <w:pStyle w:val="afc"/>
        <w:numPr>
          <w:ilvl w:val="0"/>
          <w:numId w:val="17"/>
        </w:numPr>
        <w:rPr>
          <w:rFonts w:ascii="Times New Roman" w:hAnsi="Times New Roman"/>
          <w:sz w:val="24"/>
          <w:szCs w:val="24"/>
        </w:rPr>
      </w:pPr>
      <w:r>
        <w:rPr>
          <w:rFonts w:ascii="Times New Roman" w:hAnsi="Times New Roman"/>
          <w:sz w:val="24"/>
          <w:szCs w:val="24"/>
        </w:rPr>
        <w:t>по выпуску/эмитенту происходило резке изменения кредитного качества.</w:t>
      </w:r>
    </w:p>
    <w:p w14:paraId="4FC97E39" w14:textId="77777777" w:rsidR="000C1E0E" w:rsidRDefault="000C1E0E" w:rsidP="000C1E0E">
      <w:pPr>
        <w:pStyle w:val="afc"/>
        <w:numPr>
          <w:ilvl w:val="0"/>
          <w:numId w:val="18"/>
        </w:numPr>
        <w:spacing w:after="160" w:line="256" w:lineRule="auto"/>
        <w:jc w:val="both"/>
        <w:rPr>
          <w:rFonts w:ascii="Times New Roman" w:hAnsi="Times New Roman"/>
          <w:sz w:val="24"/>
          <w:szCs w:val="24"/>
        </w:rPr>
      </w:pPr>
      <w:r>
        <w:rPr>
          <w:rFonts w:ascii="Times New Roman" w:hAnsi="Times New Roman"/>
          <w:b/>
          <w:i/>
          <w:sz w:val="24"/>
          <w:szCs w:val="24"/>
        </w:rPr>
        <w:t>По выпуску/эмитенту не происходило резкого изменения кредитного качества.</w:t>
      </w:r>
      <w:r>
        <w:rPr>
          <w:rFonts w:ascii="Times New Roman" w:hAnsi="Times New Roman"/>
          <w:sz w:val="24"/>
          <w:szCs w:val="24"/>
        </w:rPr>
        <w:t xml:space="preserve"> </w:t>
      </w:r>
    </w:p>
    <w:p w14:paraId="7FFC35B6" w14:textId="77777777" w:rsidR="000C1E0E" w:rsidRDefault="000C1E0E" w:rsidP="000C1E0E">
      <w:pPr>
        <w:pStyle w:val="afc"/>
        <w:ind w:left="360"/>
        <w:rPr>
          <w:rFonts w:ascii="Times New Roman" w:hAnsi="Times New Roman"/>
          <w:sz w:val="24"/>
          <w:szCs w:val="24"/>
        </w:rPr>
      </w:pPr>
    </w:p>
    <w:p w14:paraId="09A57245" w14:textId="77777777" w:rsidR="000C1E0E" w:rsidRDefault="000C1E0E" w:rsidP="000C1E0E">
      <w:pPr>
        <w:pStyle w:val="afc"/>
        <w:ind w:left="360"/>
        <w:rPr>
          <w:rFonts w:ascii="Times New Roman" w:hAnsi="Times New Roman"/>
          <w:sz w:val="24"/>
          <w:szCs w:val="24"/>
        </w:rPr>
      </w:pPr>
      <w:r>
        <w:rPr>
          <w:rFonts w:ascii="Times New Roman" w:hAnsi="Times New Roman"/>
          <w:sz w:val="24"/>
          <w:szCs w:val="24"/>
        </w:rPr>
        <w:t>Методы, указанные ниже, применяются в иерархическом порядке.</w:t>
      </w:r>
    </w:p>
    <w:p w14:paraId="2B1D6ACE" w14:textId="77777777" w:rsidR="000C1E0E" w:rsidRDefault="000C1E0E" w:rsidP="000C1E0E">
      <w:pPr>
        <w:pStyle w:val="afc"/>
        <w:numPr>
          <w:ilvl w:val="1"/>
          <w:numId w:val="18"/>
        </w:numPr>
        <w:spacing w:after="160" w:line="256" w:lineRule="auto"/>
        <w:jc w:val="both"/>
        <w:rPr>
          <w:rFonts w:ascii="Times New Roman" w:hAnsi="Times New Roman"/>
          <w:sz w:val="24"/>
          <w:szCs w:val="24"/>
        </w:rPr>
      </w:pPr>
      <w:r>
        <w:rPr>
          <w:rFonts w:ascii="Times New Roman" w:hAnsi="Times New Roman"/>
          <w:sz w:val="24"/>
          <w:szCs w:val="24"/>
        </w:rPr>
        <w:t>При наличии прогноза МЭР по базовому показателю, используемому для определения величины купона (например, ИПЦ), величины купонов на сроки, имеющиеся в прогнозе МЭР, рассчитываются на основании данных прогноза МЭР. Если прогноз МЭР имеется не на весь период, то оставшиеся купоны определяются по методам, указанным ниже.</w:t>
      </w:r>
    </w:p>
    <w:p w14:paraId="22971AFB" w14:textId="77777777" w:rsidR="000C1E0E" w:rsidRDefault="000C1E0E" w:rsidP="000C1E0E">
      <w:pPr>
        <w:pStyle w:val="afc"/>
        <w:numPr>
          <w:ilvl w:val="1"/>
          <w:numId w:val="18"/>
        </w:numPr>
        <w:spacing w:after="160" w:line="256" w:lineRule="auto"/>
        <w:jc w:val="both"/>
        <w:rPr>
          <w:rFonts w:ascii="Times New Roman" w:hAnsi="Times New Roman"/>
          <w:sz w:val="24"/>
          <w:szCs w:val="24"/>
        </w:rPr>
      </w:pPr>
      <w:r>
        <w:rPr>
          <w:rFonts w:ascii="Times New Roman" w:hAnsi="Times New Roman"/>
          <w:sz w:val="24"/>
          <w:szCs w:val="24"/>
        </w:rPr>
        <w:t>При наличии хотя бы одного выпуска аналогичных облигаций (срок, объем выпуска) того же эмитента, по которым на дату оценки есть цена активного рынка, для расчета величины купонов цена принимается равной цене, дающей доходность по аналогичным облигациям. В целях расчета величины каждого отдельного будущего купона они принимаются равными на весь неопределённый оставшийся до погашения период. В случае наличия более одного выпуска аналогичных облигаций того же эмитента (одинаковый срок и объем), по которым на дату оценки есть цена активного рынка, для расчета величины купонов цена принимается равной средней цене таких выпусков.</w:t>
      </w:r>
    </w:p>
    <w:p w14:paraId="19F2E73A" w14:textId="77777777" w:rsidR="000C1E0E" w:rsidRDefault="000C1E0E" w:rsidP="000C1E0E">
      <w:pPr>
        <w:pStyle w:val="afc"/>
        <w:numPr>
          <w:ilvl w:val="1"/>
          <w:numId w:val="18"/>
        </w:numPr>
        <w:spacing w:after="160" w:line="256" w:lineRule="auto"/>
        <w:jc w:val="both"/>
        <w:rPr>
          <w:rFonts w:ascii="Times New Roman" w:hAnsi="Times New Roman"/>
          <w:sz w:val="24"/>
          <w:szCs w:val="24"/>
        </w:rPr>
      </w:pPr>
      <w:r>
        <w:rPr>
          <w:rFonts w:ascii="Times New Roman" w:hAnsi="Times New Roman"/>
          <w:sz w:val="24"/>
          <w:szCs w:val="24"/>
        </w:rPr>
        <w:t>При отсутствии цены активного рынка для аналогичных облигаций того же эмитента используется подход сохранения кредитного спрэда.</w:t>
      </w:r>
    </w:p>
    <w:p w14:paraId="169D5FF5" w14:textId="77777777" w:rsidR="000C1E0E" w:rsidRDefault="000C1E0E" w:rsidP="000C1E0E">
      <w:pPr>
        <w:pStyle w:val="afc"/>
        <w:numPr>
          <w:ilvl w:val="2"/>
          <w:numId w:val="18"/>
        </w:numPr>
        <w:spacing w:after="160" w:line="256" w:lineRule="auto"/>
        <w:jc w:val="both"/>
        <w:rPr>
          <w:rFonts w:ascii="Times New Roman" w:hAnsi="Times New Roman"/>
          <w:sz w:val="24"/>
          <w:szCs w:val="24"/>
        </w:rPr>
      </w:pPr>
      <w:r>
        <w:rPr>
          <w:rFonts w:ascii="Times New Roman" w:hAnsi="Times New Roman"/>
          <w:sz w:val="24"/>
          <w:szCs w:val="24"/>
        </w:rPr>
        <w:t xml:space="preserve">Если цена активного рынка по данной облигации могла быть определена не более чем 1 (один) месяц назад, то на каждый день с определяемой ценой рассчитывается разница ставок между доходностью к погашению по данной облигации и ставкой в </w:t>
      </w:r>
      <w:r>
        <w:rPr>
          <w:rFonts w:ascii="Times New Roman" w:hAnsi="Times New Roman"/>
          <w:sz w:val="24"/>
          <w:szCs w:val="24"/>
          <w:lang w:val="en-US"/>
        </w:rPr>
        <w:t>G</w:t>
      </w:r>
      <w:r>
        <w:rPr>
          <w:rFonts w:ascii="Times New Roman" w:hAnsi="Times New Roman"/>
          <w:sz w:val="24"/>
          <w:szCs w:val="24"/>
        </w:rPr>
        <w:t>-кривой по ОФЗ на срок, равный дюрации облигации. Спрэд определяется как среднее значение между этими разницами. Для расчета величины неизвестных купонов цена принимается равной цене, дающей доходность, равную (r+Spread) на дату оценки, где:</w:t>
      </w:r>
    </w:p>
    <w:p w14:paraId="2E770336" w14:textId="77777777" w:rsidR="000C1E0E" w:rsidRDefault="000C1E0E" w:rsidP="000C1E0E">
      <w:pPr>
        <w:pStyle w:val="afc"/>
        <w:spacing w:line="360" w:lineRule="auto"/>
        <w:ind w:left="876" w:firstLine="348"/>
        <w:rPr>
          <w:rFonts w:ascii="Times New Roman" w:hAnsi="Times New Roman"/>
          <w:sz w:val="24"/>
          <w:szCs w:val="24"/>
        </w:rPr>
      </w:pPr>
      <w:r>
        <w:rPr>
          <w:rFonts w:ascii="Times New Roman" w:hAnsi="Times New Roman"/>
          <w:sz w:val="24"/>
          <w:szCs w:val="24"/>
        </w:rPr>
        <w:t>r</w:t>
      </w:r>
      <w:r>
        <w:rPr>
          <w:rFonts w:ascii="Times New Roman" w:hAnsi="Times New Roman"/>
          <w:sz w:val="24"/>
          <w:szCs w:val="24"/>
        </w:rPr>
        <w:tab/>
        <w:t xml:space="preserve"> – ставка кривой бескупонной доходности рынка ОФЗ (G-кривая), </w:t>
      </w:r>
    </w:p>
    <w:p w14:paraId="26C2F3DA" w14:textId="77777777" w:rsidR="000C1E0E" w:rsidRDefault="000C1E0E" w:rsidP="000C1E0E">
      <w:pPr>
        <w:pStyle w:val="afc"/>
        <w:ind w:left="876" w:firstLine="348"/>
        <w:rPr>
          <w:rFonts w:ascii="Times New Roman" w:hAnsi="Times New Roman"/>
          <w:sz w:val="24"/>
          <w:szCs w:val="24"/>
        </w:rPr>
      </w:pPr>
      <w:r>
        <w:rPr>
          <w:rFonts w:ascii="Times New Roman" w:hAnsi="Times New Roman"/>
          <w:sz w:val="24"/>
          <w:szCs w:val="24"/>
        </w:rPr>
        <w:t>Spread – средний спред.</w:t>
      </w:r>
    </w:p>
    <w:p w14:paraId="2011C5BE" w14:textId="77777777" w:rsidR="000C1E0E" w:rsidRDefault="000C1E0E" w:rsidP="000C1E0E">
      <w:pPr>
        <w:pStyle w:val="afc"/>
        <w:numPr>
          <w:ilvl w:val="2"/>
          <w:numId w:val="18"/>
        </w:numPr>
        <w:spacing w:after="160" w:line="256" w:lineRule="auto"/>
        <w:jc w:val="both"/>
        <w:rPr>
          <w:rFonts w:ascii="Times New Roman" w:hAnsi="Times New Roman"/>
          <w:sz w:val="24"/>
          <w:szCs w:val="24"/>
        </w:rPr>
      </w:pPr>
      <w:r>
        <w:rPr>
          <w:rFonts w:ascii="Times New Roman" w:hAnsi="Times New Roman"/>
          <w:sz w:val="24"/>
          <w:szCs w:val="24"/>
        </w:rPr>
        <w:t>Если цена активного рынка облигации не могла быть определена не более чем 1 месяц назад, то в качестве кредитного спрэда принимается усредненный кредитный спрэд за один месяц не более чем по трем другим облигациям того же эмитента с наиболее близкими к оцениваемому дюрациями. Кредитный спрэд рассчитывается аналогично п. 1.3.1.</w:t>
      </w:r>
    </w:p>
    <w:p w14:paraId="64DBD1CE" w14:textId="77777777" w:rsidR="000C1E0E" w:rsidRDefault="000C1E0E" w:rsidP="000C1E0E">
      <w:pPr>
        <w:pStyle w:val="afc"/>
        <w:numPr>
          <w:ilvl w:val="2"/>
          <w:numId w:val="18"/>
        </w:numPr>
        <w:spacing w:after="160" w:line="256" w:lineRule="auto"/>
        <w:jc w:val="both"/>
        <w:rPr>
          <w:rFonts w:ascii="Times New Roman" w:hAnsi="Times New Roman"/>
          <w:sz w:val="24"/>
          <w:szCs w:val="24"/>
        </w:rPr>
      </w:pPr>
      <w:r>
        <w:rPr>
          <w:rFonts w:ascii="Times New Roman" w:hAnsi="Times New Roman"/>
          <w:sz w:val="24"/>
          <w:szCs w:val="24"/>
        </w:rPr>
        <w:t>Если эмитент не имеет других облигаций, имеющих цену активного рынка в течение предыдущего месяца, то для оценки неизвестных купонов применяется подход «эшелонов» кредитного риска по рейтингу эмитента. Доходность принимается равной доходности по соответствующему индексу облигаций, соответствующему рейтинговой группе, к которой относится оцениваемая облигация:</w:t>
      </w:r>
    </w:p>
    <w:p w14:paraId="600CA61F" w14:textId="77777777" w:rsidR="000C1E0E" w:rsidRDefault="000C1E0E" w:rsidP="000C1E0E">
      <w:pPr>
        <w:spacing w:after="120"/>
        <w:ind w:left="1276"/>
        <w:rPr>
          <w:rFonts w:ascii="Times New Roman" w:hAnsi="Times New Roman"/>
          <w:sz w:val="24"/>
          <w:szCs w:val="24"/>
        </w:rPr>
      </w:pPr>
      <w:r>
        <w:rPr>
          <w:rFonts w:ascii="Times New Roman" w:hAnsi="Times New Roman"/>
          <w:sz w:val="24"/>
          <w:szCs w:val="24"/>
        </w:rPr>
        <w:t>В зависимости от кредитного рейтинга у выпуска долговой ценной бумаги (кредитный рейтинг в валюте номинала), а в случае его отсутствия - рейтинга эмитента или поручителя (гаранта) долговой ценной бумаги, долговая ценная бумага может быть отнесена к одной из четырех рейтинговых групп. При наличии нескольких рейтингов, выбирается наибольший из имеющихся актуальных кредитных рейтингов. Если поручительство по выпуску долговой ценной бумаги обеспечивает исполнение обязательств в полном объёме и (или) гарантия выдана на сумму номинальной стоимости и процентов по таким долговым ценным бумагам, то выбирается наибольший из имеющихся актуальных кредитных рейтингов выпуска долговой ценной бумаги и поручителя (гаранта).</w:t>
      </w:r>
    </w:p>
    <w:tbl>
      <w:tblPr>
        <w:tblW w:w="9631" w:type="dxa"/>
        <w:jc w:val="center"/>
        <w:tblLook w:val="04A0" w:firstRow="1" w:lastRow="0" w:firstColumn="1" w:lastColumn="0" w:noHBand="0" w:noVBand="1"/>
      </w:tblPr>
      <w:tblGrid>
        <w:gridCol w:w="1325"/>
        <w:gridCol w:w="1120"/>
        <w:gridCol w:w="1986"/>
        <w:gridCol w:w="1986"/>
        <w:gridCol w:w="1986"/>
        <w:gridCol w:w="1611"/>
      </w:tblGrid>
      <w:tr w:rsidR="000C1E0E" w14:paraId="6FF83522" w14:textId="77777777" w:rsidTr="0098752B">
        <w:trPr>
          <w:trHeight w:val="180"/>
          <w:jc w:val="center"/>
        </w:trPr>
        <w:tc>
          <w:tcPr>
            <w:tcW w:w="1833" w:type="dxa"/>
            <w:vMerge w:val="restart"/>
            <w:tcBorders>
              <w:top w:val="single" w:sz="8" w:space="0" w:color="auto"/>
              <w:left w:val="single" w:sz="8" w:space="0" w:color="auto"/>
              <w:bottom w:val="single" w:sz="8" w:space="0" w:color="000000"/>
              <w:right w:val="single" w:sz="8" w:space="0" w:color="auto"/>
            </w:tcBorders>
            <w:vAlign w:val="center"/>
            <w:hideMark/>
          </w:tcPr>
          <w:p w14:paraId="604DEEBE" w14:textId="77777777" w:rsidR="000C1E0E" w:rsidRDefault="000C1E0E" w:rsidP="0098752B">
            <w:pPr>
              <w:jc w:val="center"/>
              <w:rPr>
                <w:b/>
                <w:bCs/>
                <w:sz w:val="24"/>
                <w:szCs w:val="24"/>
              </w:rPr>
            </w:pPr>
            <w:r>
              <w:rPr>
                <w:b/>
                <w:bCs/>
                <w:sz w:val="24"/>
                <w:szCs w:val="24"/>
              </w:rPr>
              <w:t>АКРА</w:t>
            </w:r>
          </w:p>
        </w:tc>
        <w:tc>
          <w:tcPr>
            <w:tcW w:w="1287" w:type="dxa"/>
            <w:vMerge w:val="restart"/>
            <w:tcBorders>
              <w:top w:val="single" w:sz="8" w:space="0" w:color="auto"/>
              <w:left w:val="single" w:sz="8" w:space="0" w:color="auto"/>
              <w:bottom w:val="single" w:sz="8" w:space="0" w:color="000000"/>
              <w:right w:val="single" w:sz="8" w:space="0" w:color="auto"/>
            </w:tcBorders>
            <w:vAlign w:val="center"/>
            <w:hideMark/>
          </w:tcPr>
          <w:p w14:paraId="28CCD60D" w14:textId="77777777" w:rsidR="000C1E0E" w:rsidRDefault="000C1E0E" w:rsidP="0098752B">
            <w:pPr>
              <w:jc w:val="center"/>
              <w:rPr>
                <w:b/>
                <w:bCs/>
                <w:sz w:val="24"/>
                <w:szCs w:val="24"/>
              </w:rPr>
            </w:pPr>
            <w:r>
              <w:rPr>
                <w:b/>
                <w:bCs/>
                <w:sz w:val="24"/>
                <w:szCs w:val="24"/>
              </w:rPr>
              <w:t>Эксперт РА</w:t>
            </w:r>
          </w:p>
        </w:tc>
        <w:tc>
          <w:tcPr>
            <w:tcW w:w="1691" w:type="dxa"/>
            <w:tcBorders>
              <w:top w:val="single" w:sz="8" w:space="0" w:color="auto"/>
              <w:left w:val="nil"/>
              <w:bottom w:val="single" w:sz="4" w:space="0" w:color="auto"/>
              <w:right w:val="single" w:sz="8" w:space="0" w:color="auto"/>
            </w:tcBorders>
            <w:noWrap/>
            <w:vAlign w:val="center"/>
            <w:hideMark/>
          </w:tcPr>
          <w:p w14:paraId="553C8132" w14:textId="77777777" w:rsidR="000C1E0E" w:rsidRDefault="000C1E0E" w:rsidP="0098752B">
            <w:pPr>
              <w:jc w:val="center"/>
              <w:rPr>
                <w:b/>
                <w:bCs/>
                <w:sz w:val="24"/>
                <w:szCs w:val="24"/>
              </w:rPr>
            </w:pPr>
            <w:r>
              <w:rPr>
                <w:b/>
                <w:bCs/>
                <w:sz w:val="24"/>
                <w:szCs w:val="24"/>
              </w:rPr>
              <w:t>Moody`s</w:t>
            </w:r>
          </w:p>
        </w:tc>
        <w:tc>
          <w:tcPr>
            <w:tcW w:w="1700" w:type="dxa"/>
            <w:tcBorders>
              <w:top w:val="single" w:sz="8" w:space="0" w:color="auto"/>
              <w:left w:val="nil"/>
              <w:bottom w:val="single" w:sz="4" w:space="0" w:color="auto"/>
              <w:right w:val="nil"/>
            </w:tcBorders>
            <w:vAlign w:val="center"/>
            <w:hideMark/>
          </w:tcPr>
          <w:p w14:paraId="0D353827" w14:textId="77777777" w:rsidR="000C1E0E" w:rsidRDefault="000C1E0E" w:rsidP="0098752B">
            <w:pPr>
              <w:jc w:val="center"/>
              <w:rPr>
                <w:b/>
                <w:bCs/>
                <w:sz w:val="24"/>
                <w:szCs w:val="24"/>
              </w:rPr>
            </w:pPr>
            <w:r>
              <w:rPr>
                <w:b/>
                <w:bCs/>
                <w:sz w:val="24"/>
                <w:szCs w:val="24"/>
              </w:rPr>
              <w:t>S&amp;P</w:t>
            </w:r>
          </w:p>
        </w:tc>
        <w:tc>
          <w:tcPr>
            <w:tcW w:w="1701" w:type="dxa"/>
            <w:tcBorders>
              <w:top w:val="single" w:sz="8" w:space="0" w:color="auto"/>
              <w:left w:val="single" w:sz="8" w:space="0" w:color="auto"/>
              <w:bottom w:val="single" w:sz="4" w:space="0" w:color="auto"/>
              <w:right w:val="single" w:sz="8" w:space="0" w:color="auto"/>
            </w:tcBorders>
            <w:noWrap/>
            <w:vAlign w:val="center"/>
            <w:hideMark/>
          </w:tcPr>
          <w:p w14:paraId="4DB7F39A" w14:textId="77777777" w:rsidR="000C1E0E" w:rsidRDefault="000C1E0E" w:rsidP="0098752B">
            <w:pPr>
              <w:jc w:val="center"/>
              <w:rPr>
                <w:b/>
                <w:bCs/>
                <w:sz w:val="24"/>
                <w:szCs w:val="24"/>
              </w:rPr>
            </w:pPr>
            <w:r>
              <w:rPr>
                <w:b/>
                <w:bCs/>
                <w:sz w:val="24"/>
                <w:szCs w:val="24"/>
              </w:rPr>
              <w:t>Fitch</w:t>
            </w:r>
          </w:p>
        </w:tc>
        <w:tc>
          <w:tcPr>
            <w:tcW w:w="1419" w:type="dxa"/>
            <w:vMerge w:val="restart"/>
            <w:tcBorders>
              <w:top w:val="single" w:sz="8" w:space="0" w:color="auto"/>
              <w:left w:val="single" w:sz="8" w:space="0" w:color="auto"/>
              <w:bottom w:val="single" w:sz="4" w:space="0" w:color="auto"/>
              <w:right w:val="single" w:sz="8" w:space="0" w:color="auto"/>
            </w:tcBorders>
            <w:noWrap/>
            <w:vAlign w:val="center"/>
            <w:hideMark/>
          </w:tcPr>
          <w:p w14:paraId="25094712" w14:textId="77777777" w:rsidR="000C1E0E" w:rsidRDefault="000C1E0E" w:rsidP="0098752B">
            <w:pPr>
              <w:jc w:val="center"/>
              <w:rPr>
                <w:b/>
                <w:bCs/>
                <w:sz w:val="24"/>
                <w:szCs w:val="24"/>
              </w:rPr>
            </w:pPr>
            <w:r>
              <w:rPr>
                <w:b/>
                <w:bCs/>
                <w:sz w:val="24"/>
                <w:szCs w:val="24"/>
              </w:rPr>
              <w:t>Рейтинговая группа</w:t>
            </w:r>
          </w:p>
        </w:tc>
      </w:tr>
      <w:tr w:rsidR="000C1E0E" w14:paraId="2F30D86A" w14:textId="77777777" w:rsidTr="0098752B">
        <w:trPr>
          <w:trHeight w:val="613"/>
          <w:jc w:val="center"/>
        </w:trPr>
        <w:tc>
          <w:tcPr>
            <w:tcW w:w="0" w:type="auto"/>
            <w:vMerge/>
            <w:tcBorders>
              <w:top w:val="single" w:sz="8" w:space="0" w:color="auto"/>
              <w:left w:val="single" w:sz="8" w:space="0" w:color="auto"/>
              <w:bottom w:val="single" w:sz="8" w:space="0" w:color="000000"/>
              <w:right w:val="single" w:sz="8" w:space="0" w:color="auto"/>
            </w:tcBorders>
            <w:vAlign w:val="center"/>
            <w:hideMark/>
          </w:tcPr>
          <w:p w14:paraId="201B5104" w14:textId="77777777" w:rsidR="000C1E0E" w:rsidRDefault="000C1E0E" w:rsidP="0098752B">
            <w:pPr>
              <w:spacing w:line="240" w:lineRule="auto"/>
              <w:jc w:val="left"/>
              <w:rPr>
                <w:b/>
                <w:bCs/>
                <w:sz w:val="24"/>
                <w:szCs w:val="24"/>
              </w:rPr>
            </w:pPr>
          </w:p>
        </w:tc>
        <w:tc>
          <w:tcPr>
            <w:tcW w:w="0" w:type="auto"/>
            <w:vMerge/>
            <w:tcBorders>
              <w:top w:val="single" w:sz="8" w:space="0" w:color="auto"/>
              <w:left w:val="single" w:sz="8" w:space="0" w:color="auto"/>
              <w:bottom w:val="single" w:sz="8" w:space="0" w:color="000000"/>
              <w:right w:val="single" w:sz="8" w:space="0" w:color="auto"/>
            </w:tcBorders>
            <w:vAlign w:val="center"/>
            <w:hideMark/>
          </w:tcPr>
          <w:p w14:paraId="52FFBD13" w14:textId="77777777" w:rsidR="000C1E0E" w:rsidRDefault="000C1E0E" w:rsidP="0098752B">
            <w:pPr>
              <w:spacing w:line="240" w:lineRule="auto"/>
              <w:jc w:val="left"/>
              <w:rPr>
                <w:b/>
                <w:bCs/>
                <w:sz w:val="24"/>
                <w:szCs w:val="24"/>
              </w:rPr>
            </w:pPr>
          </w:p>
        </w:tc>
        <w:tc>
          <w:tcPr>
            <w:tcW w:w="1691" w:type="dxa"/>
            <w:tcBorders>
              <w:top w:val="single" w:sz="4" w:space="0" w:color="auto"/>
              <w:left w:val="single" w:sz="4" w:space="0" w:color="auto"/>
              <w:bottom w:val="single" w:sz="4" w:space="0" w:color="auto"/>
              <w:right w:val="single" w:sz="4" w:space="0" w:color="auto"/>
            </w:tcBorders>
            <w:vAlign w:val="center"/>
            <w:hideMark/>
          </w:tcPr>
          <w:p w14:paraId="38056BB4" w14:textId="77777777" w:rsidR="000C1E0E" w:rsidRDefault="000C1E0E" w:rsidP="0098752B">
            <w:pPr>
              <w:jc w:val="center"/>
              <w:rPr>
                <w:b/>
                <w:bCs/>
                <w:sz w:val="24"/>
                <w:szCs w:val="24"/>
              </w:rPr>
            </w:pPr>
            <w:r>
              <w:rPr>
                <w:b/>
                <w:bCs/>
                <w:sz w:val="24"/>
                <w:szCs w:val="24"/>
              </w:rPr>
              <w:t>Международная шкала</w:t>
            </w:r>
          </w:p>
        </w:tc>
        <w:tc>
          <w:tcPr>
            <w:tcW w:w="1700" w:type="dxa"/>
            <w:tcBorders>
              <w:top w:val="single" w:sz="4" w:space="0" w:color="auto"/>
              <w:left w:val="single" w:sz="4" w:space="0" w:color="auto"/>
              <w:bottom w:val="single" w:sz="4" w:space="0" w:color="auto"/>
              <w:right w:val="single" w:sz="4" w:space="0" w:color="auto"/>
            </w:tcBorders>
            <w:vAlign w:val="center"/>
            <w:hideMark/>
          </w:tcPr>
          <w:p w14:paraId="43019E26" w14:textId="77777777" w:rsidR="000C1E0E" w:rsidRDefault="000C1E0E" w:rsidP="0098752B">
            <w:pPr>
              <w:jc w:val="center"/>
              <w:rPr>
                <w:b/>
                <w:bCs/>
                <w:sz w:val="24"/>
                <w:szCs w:val="24"/>
              </w:rPr>
            </w:pPr>
            <w:r>
              <w:rPr>
                <w:b/>
                <w:bCs/>
                <w:sz w:val="24"/>
                <w:szCs w:val="24"/>
              </w:rPr>
              <w:t>Международная шкала</w:t>
            </w:r>
          </w:p>
        </w:tc>
        <w:tc>
          <w:tcPr>
            <w:tcW w:w="1701" w:type="dxa"/>
            <w:tcBorders>
              <w:top w:val="single" w:sz="4" w:space="0" w:color="auto"/>
              <w:left w:val="single" w:sz="4" w:space="0" w:color="auto"/>
              <w:bottom w:val="single" w:sz="4" w:space="0" w:color="auto"/>
              <w:right w:val="single" w:sz="4" w:space="0" w:color="auto"/>
            </w:tcBorders>
            <w:vAlign w:val="center"/>
            <w:hideMark/>
          </w:tcPr>
          <w:p w14:paraId="301CF5C4" w14:textId="77777777" w:rsidR="000C1E0E" w:rsidRDefault="000C1E0E" w:rsidP="0098752B">
            <w:pPr>
              <w:jc w:val="center"/>
              <w:rPr>
                <w:b/>
                <w:bCs/>
                <w:sz w:val="24"/>
                <w:szCs w:val="24"/>
              </w:rPr>
            </w:pPr>
            <w:r>
              <w:rPr>
                <w:b/>
                <w:bCs/>
                <w:sz w:val="24"/>
                <w:szCs w:val="24"/>
              </w:rPr>
              <w:t>Международная шкала</w:t>
            </w:r>
          </w:p>
        </w:tc>
        <w:tc>
          <w:tcPr>
            <w:tcW w:w="0" w:type="auto"/>
            <w:vMerge/>
            <w:tcBorders>
              <w:top w:val="single" w:sz="8" w:space="0" w:color="auto"/>
              <w:left w:val="single" w:sz="8" w:space="0" w:color="auto"/>
              <w:bottom w:val="single" w:sz="4" w:space="0" w:color="auto"/>
              <w:right w:val="single" w:sz="8" w:space="0" w:color="auto"/>
            </w:tcBorders>
            <w:vAlign w:val="center"/>
            <w:hideMark/>
          </w:tcPr>
          <w:p w14:paraId="620D3180" w14:textId="77777777" w:rsidR="000C1E0E" w:rsidRDefault="000C1E0E" w:rsidP="0098752B">
            <w:pPr>
              <w:spacing w:line="240" w:lineRule="auto"/>
              <w:jc w:val="left"/>
              <w:rPr>
                <w:b/>
                <w:bCs/>
                <w:sz w:val="24"/>
                <w:szCs w:val="24"/>
              </w:rPr>
            </w:pPr>
          </w:p>
        </w:tc>
      </w:tr>
      <w:tr w:rsidR="000C1E0E" w14:paraId="6E168897" w14:textId="77777777" w:rsidTr="0098752B">
        <w:trPr>
          <w:trHeight w:val="345"/>
          <w:jc w:val="center"/>
        </w:trPr>
        <w:tc>
          <w:tcPr>
            <w:tcW w:w="1833" w:type="dxa"/>
            <w:tcBorders>
              <w:top w:val="nil"/>
              <w:left w:val="single" w:sz="8" w:space="0" w:color="auto"/>
              <w:bottom w:val="single" w:sz="8" w:space="0" w:color="auto"/>
              <w:right w:val="single" w:sz="8" w:space="0" w:color="auto"/>
            </w:tcBorders>
            <w:vAlign w:val="center"/>
            <w:hideMark/>
          </w:tcPr>
          <w:p w14:paraId="7FEB16F9" w14:textId="77777777" w:rsidR="000C1E0E" w:rsidRDefault="000C1E0E" w:rsidP="0098752B">
            <w:pPr>
              <w:jc w:val="center"/>
              <w:rPr>
                <w:sz w:val="24"/>
                <w:szCs w:val="24"/>
              </w:rPr>
            </w:pPr>
            <w:r>
              <w:rPr>
                <w:sz w:val="24"/>
                <w:szCs w:val="24"/>
              </w:rPr>
              <w:t> </w:t>
            </w:r>
          </w:p>
        </w:tc>
        <w:tc>
          <w:tcPr>
            <w:tcW w:w="1287" w:type="dxa"/>
            <w:tcBorders>
              <w:top w:val="nil"/>
              <w:left w:val="nil"/>
              <w:bottom w:val="single" w:sz="8" w:space="0" w:color="auto"/>
              <w:right w:val="single" w:sz="8" w:space="0" w:color="auto"/>
            </w:tcBorders>
            <w:vAlign w:val="center"/>
            <w:hideMark/>
          </w:tcPr>
          <w:p w14:paraId="78DD3EB2" w14:textId="77777777" w:rsidR="000C1E0E" w:rsidRDefault="000C1E0E" w:rsidP="0098752B">
            <w:pPr>
              <w:jc w:val="center"/>
              <w:rPr>
                <w:sz w:val="24"/>
                <w:szCs w:val="24"/>
              </w:rPr>
            </w:pPr>
            <w:r>
              <w:rPr>
                <w:sz w:val="24"/>
                <w:szCs w:val="24"/>
              </w:rPr>
              <w:t> </w:t>
            </w:r>
          </w:p>
        </w:tc>
        <w:tc>
          <w:tcPr>
            <w:tcW w:w="1691" w:type="dxa"/>
            <w:tcBorders>
              <w:top w:val="single" w:sz="4" w:space="0" w:color="auto"/>
              <w:left w:val="nil"/>
              <w:bottom w:val="single" w:sz="8" w:space="0" w:color="auto"/>
              <w:right w:val="single" w:sz="8" w:space="0" w:color="auto"/>
            </w:tcBorders>
            <w:noWrap/>
            <w:vAlign w:val="center"/>
            <w:hideMark/>
          </w:tcPr>
          <w:p w14:paraId="5ABB369D" w14:textId="77777777" w:rsidR="000C1E0E" w:rsidRDefault="000C1E0E" w:rsidP="0098752B">
            <w:pPr>
              <w:jc w:val="center"/>
              <w:rPr>
                <w:sz w:val="24"/>
                <w:szCs w:val="24"/>
              </w:rPr>
            </w:pPr>
            <w:r>
              <w:rPr>
                <w:sz w:val="24"/>
                <w:szCs w:val="24"/>
              </w:rPr>
              <w:t>Ваа1</w:t>
            </w:r>
          </w:p>
        </w:tc>
        <w:tc>
          <w:tcPr>
            <w:tcW w:w="1700" w:type="dxa"/>
            <w:tcBorders>
              <w:top w:val="single" w:sz="4" w:space="0" w:color="auto"/>
              <w:left w:val="nil"/>
              <w:bottom w:val="single" w:sz="8" w:space="0" w:color="auto"/>
              <w:right w:val="single" w:sz="8" w:space="0" w:color="auto"/>
            </w:tcBorders>
            <w:vAlign w:val="center"/>
            <w:hideMark/>
          </w:tcPr>
          <w:p w14:paraId="5B2AF9ED" w14:textId="77777777" w:rsidR="000C1E0E" w:rsidRDefault="000C1E0E" w:rsidP="0098752B">
            <w:pPr>
              <w:jc w:val="center"/>
              <w:rPr>
                <w:sz w:val="24"/>
                <w:szCs w:val="24"/>
              </w:rPr>
            </w:pPr>
            <w:r>
              <w:rPr>
                <w:sz w:val="24"/>
                <w:szCs w:val="24"/>
              </w:rPr>
              <w:t>ВВВ+</w:t>
            </w:r>
          </w:p>
        </w:tc>
        <w:tc>
          <w:tcPr>
            <w:tcW w:w="1701" w:type="dxa"/>
            <w:tcBorders>
              <w:top w:val="single" w:sz="4" w:space="0" w:color="auto"/>
              <w:left w:val="nil"/>
              <w:bottom w:val="single" w:sz="8" w:space="0" w:color="auto"/>
              <w:right w:val="single" w:sz="4" w:space="0" w:color="auto"/>
            </w:tcBorders>
            <w:noWrap/>
            <w:vAlign w:val="center"/>
            <w:hideMark/>
          </w:tcPr>
          <w:p w14:paraId="1AC2F196" w14:textId="77777777" w:rsidR="000C1E0E" w:rsidRDefault="000C1E0E" w:rsidP="0098752B">
            <w:pPr>
              <w:jc w:val="center"/>
              <w:rPr>
                <w:sz w:val="24"/>
                <w:szCs w:val="24"/>
              </w:rPr>
            </w:pPr>
            <w:r>
              <w:rPr>
                <w:sz w:val="24"/>
                <w:szCs w:val="24"/>
              </w:rPr>
              <w:t>ВВВ+</w:t>
            </w:r>
          </w:p>
        </w:tc>
        <w:tc>
          <w:tcPr>
            <w:tcW w:w="1419" w:type="dxa"/>
            <w:vMerge w:val="restart"/>
            <w:tcBorders>
              <w:top w:val="single" w:sz="4" w:space="0" w:color="auto"/>
              <w:left w:val="single" w:sz="4" w:space="0" w:color="auto"/>
              <w:bottom w:val="single" w:sz="4" w:space="0" w:color="auto"/>
              <w:right w:val="single" w:sz="4" w:space="0" w:color="auto"/>
            </w:tcBorders>
            <w:noWrap/>
            <w:vAlign w:val="center"/>
            <w:hideMark/>
          </w:tcPr>
          <w:p w14:paraId="43BABDF7" w14:textId="77777777" w:rsidR="000C1E0E" w:rsidRDefault="000C1E0E" w:rsidP="0098752B">
            <w:pPr>
              <w:jc w:val="center"/>
              <w:rPr>
                <w:b/>
                <w:bCs/>
                <w:sz w:val="24"/>
                <w:szCs w:val="24"/>
              </w:rPr>
            </w:pPr>
            <w:r>
              <w:rPr>
                <w:b/>
                <w:bCs/>
                <w:sz w:val="24"/>
                <w:szCs w:val="24"/>
              </w:rPr>
              <w:t>Рейтинговая группа I</w:t>
            </w:r>
          </w:p>
        </w:tc>
      </w:tr>
      <w:tr w:rsidR="000C1E0E" w14:paraId="3A017C87" w14:textId="77777777" w:rsidTr="0098752B">
        <w:trPr>
          <w:trHeight w:val="345"/>
          <w:jc w:val="center"/>
        </w:trPr>
        <w:tc>
          <w:tcPr>
            <w:tcW w:w="1833" w:type="dxa"/>
            <w:tcBorders>
              <w:top w:val="nil"/>
              <w:left w:val="single" w:sz="8" w:space="0" w:color="auto"/>
              <w:bottom w:val="single" w:sz="8" w:space="0" w:color="auto"/>
              <w:right w:val="single" w:sz="8" w:space="0" w:color="auto"/>
            </w:tcBorders>
            <w:vAlign w:val="center"/>
            <w:hideMark/>
          </w:tcPr>
          <w:p w14:paraId="7182FD37" w14:textId="77777777" w:rsidR="000C1E0E" w:rsidRDefault="000C1E0E" w:rsidP="0098752B">
            <w:pPr>
              <w:jc w:val="center"/>
              <w:rPr>
                <w:sz w:val="24"/>
                <w:szCs w:val="24"/>
              </w:rPr>
            </w:pPr>
            <w:r>
              <w:rPr>
                <w:sz w:val="24"/>
                <w:szCs w:val="24"/>
              </w:rPr>
              <w:t> </w:t>
            </w:r>
          </w:p>
        </w:tc>
        <w:tc>
          <w:tcPr>
            <w:tcW w:w="1287" w:type="dxa"/>
            <w:tcBorders>
              <w:top w:val="nil"/>
              <w:left w:val="nil"/>
              <w:bottom w:val="single" w:sz="8" w:space="0" w:color="auto"/>
              <w:right w:val="single" w:sz="8" w:space="0" w:color="auto"/>
            </w:tcBorders>
            <w:vAlign w:val="center"/>
            <w:hideMark/>
          </w:tcPr>
          <w:p w14:paraId="49392AA1" w14:textId="77777777" w:rsidR="000C1E0E" w:rsidRDefault="000C1E0E" w:rsidP="0098752B">
            <w:pPr>
              <w:jc w:val="center"/>
              <w:rPr>
                <w:sz w:val="24"/>
                <w:szCs w:val="24"/>
              </w:rPr>
            </w:pPr>
            <w:r>
              <w:rPr>
                <w:sz w:val="24"/>
                <w:szCs w:val="24"/>
              </w:rPr>
              <w:t> </w:t>
            </w:r>
          </w:p>
        </w:tc>
        <w:tc>
          <w:tcPr>
            <w:tcW w:w="1691" w:type="dxa"/>
            <w:tcBorders>
              <w:top w:val="nil"/>
              <w:left w:val="nil"/>
              <w:bottom w:val="single" w:sz="8" w:space="0" w:color="auto"/>
              <w:right w:val="single" w:sz="8" w:space="0" w:color="auto"/>
            </w:tcBorders>
            <w:noWrap/>
            <w:vAlign w:val="center"/>
            <w:hideMark/>
          </w:tcPr>
          <w:p w14:paraId="312541E0" w14:textId="77777777" w:rsidR="000C1E0E" w:rsidRDefault="000C1E0E" w:rsidP="0098752B">
            <w:pPr>
              <w:jc w:val="center"/>
              <w:rPr>
                <w:sz w:val="24"/>
                <w:szCs w:val="24"/>
              </w:rPr>
            </w:pPr>
            <w:r>
              <w:rPr>
                <w:sz w:val="24"/>
                <w:szCs w:val="24"/>
              </w:rPr>
              <w:t>Ваа2</w:t>
            </w:r>
          </w:p>
        </w:tc>
        <w:tc>
          <w:tcPr>
            <w:tcW w:w="1700" w:type="dxa"/>
            <w:tcBorders>
              <w:top w:val="nil"/>
              <w:left w:val="nil"/>
              <w:bottom w:val="single" w:sz="8" w:space="0" w:color="auto"/>
              <w:right w:val="single" w:sz="8" w:space="0" w:color="auto"/>
            </w:tcBorders>
            <w:vAlign w:val="center"/>
            <w:hideMark/>
          </w:tcPr>
          <w:p w14:paraId="7D5CEA9D" w14:textId="77777777" w:rsidR="000C1E0E" w:rsidRDefault="000C1E0E" w:rsidP="0098752B">
            <w:pPr>
              <w:jc w:val="center"/>
              <w:rPr>
                <w:sz w:val="24"/>
                <w:szCs w:val="24"/>
              </w:rPr>
            </w:pPr>
            <w:r>
              <w:rPr>
                <w:sz w:val="24"/>
                <w:szCs w:val="24"/>
              </w:rPr>
              <w:t>ВВВ</w:t>
            </w:r>
          </w:p>
        </w:tc>
        <w:tc>
          <w:tcPr>
            <w:tcW w:w="1701" w:type="dxa"/>
            <w:tcBorders>
              <w:top w:val="nil"/>
              <w:left w:val="nil"/>
              <w:bottom w:val="single" w:sz="8" w:space="0" w:color="auto"/>
              <w:right w:val="single" w:sz="4" w:space="0" w:color="auto"/>
            </w:tcBorders>
            <w:noWrap/>
            <w:vAlign w:val="center"/>
            <w:hideMark/>
          </w:tcPr>
          <w:p w14:paraId="70A18ABC" w14:textId="77777777" w:rsidR="000C1E0E" w:rsidRDefault="000C1E0E" w:rsidP="0098752B">
            <w:pPr>
              <w:jc w:val="center"/>
              <w:rPr>
                <w:sz w:val="24"/>
                <w:szCs w:val="24"/>
              </w:rPr>
            </w:pPr>
            <w:r>
              <w:rPr>
                <w:sz w:val="24"/>
                <w:szCs w:val="24"/>
              </w:rPr>
              <w:t>ВВВ</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00543853" w14:textId="77777777" w:rsidR="000C1E0E" w:rsidRDefault="000C1E0E" w:rsidP="0098752B">
            <w:pPr>
              <w:spacing w:line="240" w:lineRule="auto"/>
              <w:jc w:val="left"/>
              <w:rPr>
                <w:b/>
                <w:bCs/>
                <w:sz w:val="24"/>
                <w:szCs w:val="24"/>
              </w:rPr>
            </w:pPr>
          </w:p>
        </w:tc>
      </w:tr>
      <w:tr w:rsidR="000C1E0E" w14:paraId="7C2449CC" w14:textId="77777777" w:rsidTr="0098752B">
        <w:trPr>
          <w:trHeight w:val="345"/>
          <w:jc w:val="center"/>
        </w:trPr>
        <w:tc>
          <w:tcPr>
            <w:tcW w:w="1833" w:type="dxa"/>
            <w:tcBorders>
              <w:top w:val="nil"/>
              <w:left w:val="single" w:sz="8" w:space="0" w:color="auto"/>
              <w:bottom w:val="single" w:sz="8" w:space="0" w:color="auto"/>
              <w:right w:val="single" w:sz="8" w:space="0" w:color="auto"/>
            </w:tcBorders>
            <w:vAlign w:val="center"/>
            <w:hideMark/>
          </w:tcPr>
          <w:p w14:paraId="66131F9C" w14:textId="77777777" w:rsidR="000C1E0E" w:rsidRDefault="000C1E0E" w:rsidP="0098752B">
            <w:pPr>
              <w:jc w:val="center"/>
              <w:rPr>
                <w:sz w:val="24"/>
                <w:szCs w:val="24"/>
              </w:rPr>
            </w:pPr>
            <w:r>
              <w:rPr>
                <w:sz w:val="24"/>
                <w:szCs w:val="24"/>
              </w:rPr>
              <w:t>AAA(RU)</w:t>
            </w:r>
          </w:p>
        </w:tc>
        <w:tc>
          <w:tcPr>
            <w:tcW w:w="1287" w:type="dxa"/>
            <w:tcBorders>
              <w:top w:val="nil"/>
              <w:left w:val="nil"/>
              <w:bottom w:val="single" w:sz="8" w:space="0" w:color="auto"/>
              <w:right w:val="single" w:sz="8" w:space="0" w:color="auto"/>
            </w:tcBorders>
            <w:vAlign w:val="center"/>
            <w:hideMark/>
          </w:tcPr>
          <w:p w14:paraId="06B0805D" w14:textId="77777777" w:rsidR="000C1E0E" w:rsidRDefault="000C1E0E" w:rsidP="0098752B">
            <w:pPr>
              <w:jc w:val="center"/>
              <w:rPr>
                <w:sz w:val="24"/>
                <w:szCs w:val="24"/>
              </w:rPr>
            </w:pPr>
            <w:r>
              <w:rPr>
                <w:sz w:val="24"/>
                <w:szCs w:val="24"/>
              </w:rPr>
              <w:t>ruAAA</w:t>
            </w:r>
          </w:p>
        </w:tc>
        <w:tc>
          <w:tcPr>
            <w:tcW w:w="1691" w:type="dxa"/>
            <w:tcBorders>
              <w:top w:val="nil"/>
              <w:left w:val="nil"/>
              <w:bottom w:val="single" w:sz="8" w:space="0" w:color="auto"/>
              <w:right w:val="single" w:sz="8" w:space="0" w:color="auto"/>
            </w:tcBorders>
            <w:noWrap/>
            <w:vAlign w:val="center"/>
            <w:hideMark/>
          </w:tcPr>
          <w:p w14:paraId="3C391759" w14:textId="77777777" w:rsidR="000C1E0E" w:rsidRDefault="000C1E0E" w:rsidP="0098752B">
            <w:pPr>
              <w:jc w:val="center"/>
              <w:rPr>
                <w:sz w:val="24"/>
                <w:szCs w:val="24"/>
              </w:rPr>
            </w:pPr>
            <w:r>
              <w:rPr>
                <w:sz w:val="24"/>
                <w:szCs w:val="24"/>
              </w:rPr>
              <w:t>Ваа3</w:t>
            </w:r>
          </w:p>
        </w:tc>
        <w:tc>
          <w:tcPr>
            <w:tcW w:w="1700" w:type="dxa"/>
            <w:tcBorders>
              <w:top w:val="nil"/>
              <w:left w:val="nil"/>
              <w:bottom w:val="single" w:sz="8" w:space="0" w:color="auto"/>
              <w:right w:val="single" w:sz="8" w:space="0" w:color="auto"/>
            </w:tcBorders>
            <w:vAlign w:val="center"/>
            <w:hideMark/>
          </w:tcPr>
          <w:p w14:paraId="75418792" w14:textId="77777777" w:rsidR="000C1E0E" w:rsidRDefault="000C1E0E" w:rsidP="0098752B">
            <w:pPr>
              <w:jc w:val="center"/>
              <w:rPr>
                <w:sz w:val="24"/>
                <w:szCs w:val="24"/>
              </w:rPr>
            </w:pPr>
            <w:r>
              <w:rPr>
                <w:sz w:val="24"/>
                <w:szCs w:val="24"/>
              </w:rPr>
              <w:t>ВВВ-</w:t>
            </w:r>
          </w:p>
        </w:tc>
        <w:tc>
          <w:tcPr>
            <w:tcW w:w="1701" w:type="dxa"/>
            <w:tcBorders>
              <w:top w:val="nil"/>
              <w:left w:val="nil"/>
              <w:bottom w:val="single" w:sz="8" w:space="0" w:color="auto"/>
              <w:right w:val="single" w:sz="4" w:space="0" w:color="auto"/>
            </w:tcBorders>
            <w:noWrap/>
            <w:vAlign w:val="center"/>
            <w:hideMark/>
          </w:tcPr>
          <w:p w14:paraId="6DFAEEDD" w14:textId="77777777" w:rsidR="000C1E0E" w:rsidRDefault="000C1E0E" w:rsidP="0098752B">
            <w:pPr>
              <w:jc w:val="center"/>
              <w:rPr>
                <w:sz w:val="24"/>
                <w:szCs w:val="24"/>
              </w:rPr>
            </w:pPr>
            <w:r>
              <w:rPr>
                <w:sz w:val="24"/>
                <w:szCs w:val="24"/>
              </w:rPr>
              <w:t>ВВВ-</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4EAA73AB" w14:textId="77777777" w:rsidR="000C1E0E" w:rsidRDefault="000C1E0E" w:rsidP="0098752B">
            <w:pPr>
              <w:spacing w:line="240" w:lineRule="auto"/>
              <w:jc w:val="left"/>
              <w:rPr>
                <w:b/>
                <w:bCs/>
                <w:sz w:val="24"/>
                <w:szCs w:val="24"/>
              </w:rPr>
            </w:pPr>
          </w:p>
        </w:tc>
      </w:tr>
      <w:tr w:rsidR="000C1E0E" w14:paraId="332F2083" w14:textId="77777777" w:rsidTr="0098752B">
        <w:trPr>
          <w:trHeight w:val="345"/>
          <w:jc w:val="center"/>
        </w:trPr>
        <w:tc>
          <w:tcPr>
            <w:tcW w:w="1833" w:type="dxa"/>
            <w:tcBorders>
              <w:top w:val="nil"/>
              <w:left w:val="single" w:sz="8" w:space="0" w:color="auto"/>
              <w:bottom w:val="single" w:sz="8" w:space="0" w:color="auto"/>
              <w:right w:val="single" w:sz="8" w:space="0" w:color="auto"/>
            </w:tcBorders>
            <w:vAlign w:val="center"/>
            <w:hideMark/>
          </w:tcPr>
          <w:p w14:paraId="17301FC8" w14:textId="77777777" w:rsidR="000C1E0E" w:rsidRDefault="000C1E0E" w:rsidP="0098752B">
            <w:pPr>
              <w:jc w:val="center"/>
              <w:rPr>
                <w:sz w:val="24"/>
                <w:szCs w:val="24"/>
                <w:lang w:val="en-US"/>
              </w:rPr>
            </w:pPr>
            <w:r>
              <w:rPr>
                <w:sz w:val="24"/>
                <w:szCs w:val="24"/>
                <w:lang w:val="en-US"/>
              </w:rPr>
              <w:t>AA+(RU), AA(RU), AA-(RU)</w:t>
            </w:r>
          </w:p>
        </w:tc>
        <w:tc>
          <w:tcPr>
            <w:tcW w:w="1287" w:type="dxa"/>
            <w:tcBorders>
              <w:top w:val="nil"/>
              <w:left w:val="nil"/>
              <w:bottom w:val="single" w:sz="8" w:space="0" w:color="auto"/>
              <w:right w:val="single" w:sz="8" w:space="0" w:color="auto"/>
            </w:tcBorders>
            <w:vAlign w:val="center"/>
            <w:hideMark/>
          </w:tcPr>
          <w:p w14:paraId="2C3FFB1F" w14:textId="77777777" w:rsidR="000C1E0E" w:rsidRDefault="000C1E0E" w:rsidP="0098752B">
            <w:pPr>
              <w:jc w:val="center"/>
              <w:rPr>
                <w:sz w:val="24"/>
                <w:szCs w:val="24"/>
              </w:rPr>
            </w:pPr>
            <w:r>
              <w:rPr>
                <w:sz w:val="24"/>
                <w:szCs w:val="24"/>
              </w:rPr>
              <w:t>ruAA+, ruAA</w:t>
            </w:r>
          </w:p>
        </w:tc>
        <w:tc>
          <w:tcPr>
            <w:tcW w:w="1691" w:type="dxa"/>
            <w:tcBorders>
              <w:top w:val="nil"/>
              <w:left w:val="nil"/>
              <w:bottom w:val="single" w:sz="8" w:space="0" w:color="auto"/>
              <w:right w:val="single" w:sz="8" w:space="0" w:color="auto"/>
            </w:tcBorders>
            <w:noWrap/>
            <w:vAlign w:val="center"/>
            <w:hideMark/>
          </w:tcPr>
          <w:p w14:paraId="2D91A855" w14:textId="77777777" w:rsidR="000C1E0E" w:rsidRDefault="000C1E0E" w:rsidP="0098752B">
            <w:pPr>
              <w:jc w:val="center"/>
              <w:rPr>
                <w:sz w:val="24"/>
                <w:szCs w:val="24"/>
              </w:rPr>
            </w:pPr>
            <w:r>
              <w:rPr>
                <w:sz w:val="24"/>
                <w:szCs w:val="24"/>
              </w:rPr>
              <w:t>Ва1</w:t>
            </w:r>
          </w:p>
        </w:tc>
        <w:tc>
          <w:tcPr>
            <w:tcW w:w="1700" w:type="dxa"/>
            <w:tcBorders>
              <w:top w:val="nil"/>
              <w:left w:val="nil"/>
              <w:bottom w:val="single" w:sz="8" w:space="0" w:color="auto"/>
              <w:right w:val="single" w:sz="8" w:space="0" w:color="auto"/>
            </w:tcBorders>
            <w:vAlign w:val="center"/>
            <w:hideMark/>
          </w:tcPr>
          <w:p w14:paraId="47F39713" w14:textId="77777777" w:rsidR="000C1E0E" w:rsidRDefault="000C1E0E" w:rsidP="0098752B">
            <w:pPr>
              <w:jc w:val="center"/>
              <w:rPr>
                <w:sz w:val="24"/>
                <w:szCs w:val="24"/>
              </w:rPr>
            </w:pPr>
            <w:r>
              <w:rPr>
                <w:sz w:val="24"/>
                <w:szCs w:val="24"/>
              </w:rPr>
              <w:t>ВВ+</w:t>
            </w:r>
          </w:p>
        </w:tc>
        <w:tc>
          <w:tcPr>
            <w:tcW w:w="1701" w:type="dxa"/>
            <w:tcBorders>
              <w:top w:val="nil"/>
              <w:left w:val="nil"/>
              <w:bottom w:val="single" w:sz="8" w:space="0" w:color="auto"/>
              <w:right w:val="single" w:sz="8" w:space="0" w:color="auto"/>
            </w:tcBorders>
            <w:noWrap/>
            <w:vAlign w:val="center"/>
            <w:hideMark/>
          </w:tcPr>
          <w:p w14:paraId="66F797B4" w14:textId="77777777" w:rsidR="000C1E0E" w:rsidRDefault="000C1E0E" w:rsidP="0098752B">
            <w:pPr>
              <w:jc w:val="center"/>
              <w:rPr>
                <w:sz w:val="24"/>
                <w:szCs w:val="24"/>
              </w:rPr>
            </w:pPr>
            <w:r>
              <w:rPr>
                <w:sz w:val="24"/>
                <w:szCs w:val="24"/>
              </w:rPr>
              <w:t>ВВ+</w:t>
            </w:r>
          </w:p>
        </w:tc>
        <w:tc>
          <w:tcPr>
            <w:tcW w:w="1419" w:type="dxa"/>
            <w:vMerge w:val="restart"/>
            <w:tcBorders>
              <w:top w:val="single" w:sz="4" w:space="0" w:color="auto"/>
              <w:left w:val="single" w:sz="8" w:space="0" w:color="auto"/>
              <w:bottom w:val="single" w:sz="8" w:space="0" w:color="000000"/>
              <w:right w:val="single" w:sz="8" w:space="0" w:color="auto"/>
            </w:tcBorders>
            <w:vAlign w:val="center"/>
            <w:hideMark/>
          </w:tcPr>
          <w:p w14:paraId="4383D27F" w14:textId="77777777" w:rsidR="000C1E0E" w:rsidRDefault="000C1E0E" w:rsidP="0098752B">
            <w:pPr>
              <w:jc w:val="center"/>
              <w:rPr>
                <w:b/>
                <w:bCs/>
                <w:sz w:val="24"/>
                <w:szCs w:val="24"/>
              </w:rPr>
            </w:pPr>
            <w:r>
              <w:rPr>
                <w:b/>
                <w:bCs/>
                <w:sz w:val="24"/>
                <w:szCs w:val="24"/>
              </w:rPr>
              <w:t>Рейтинговая группа II</w:t>
            </w:r>
          </w:p>
        </w:tc>
      </w:tr>
      <w:tr w:rsidR="000C1E0E" w14:paraId="460295AE" w14:textId="77777777" w:rsidTr="0098752B">
        <w:trPr>
          <w:trHeight w:val="345"/>
          <w:jc w:val="center"/>
        </w:trPr>
        <w:tc>
          <w:tcPr>
            <w:tcW w:w="1833" w:type="dxa"/>
            <w:tcBorders>
              <w:top w:val="nil"/>
              <w:left w:val="single" w:sz="8" w:space="0" w:color="auto"/>
              <w:bottom w:val="single" w:sz="8" w:space="0" w:color="auto"/>
              <w:right w:val="single" w:sz="8" w:space="0" w:color="auto"/>
            </w:tcBorders>
            <w:vAlign w:val="center"/>
            <w:hideMark/>
          </w:tcPr>
          <w:p w14:paraId="31FF1B48" w14:textId="77777777" w:rsidR="000C1E0E" w:rsidRDefault="000C1E0E" w:rsidP="0098752B">
            <w:pPr>
              <w:jc w:val="center"/>
              <w:rPr>
                <w:sz w:val="24"/>
                <w:szCs w:val="24"/>
              </w:rPr>
            </w:pPr>
            <w:r>
              <w:rPr>
                <w:sz w:val="24"/>
                <w:szCs w:val="24"/>
              </w:rPr>
              <w:t>A+(RU), A(RU)</w:t>
            </w:r>
          </w:p>
        </w:tc>
        <w:tc>
          <w:tcPr>
            <w:tcW w:w="1287" w:type="dxa"/>
            <w:tcBorders>
              <w:top w:val="nil"/>
              <w:left w:val="nil"/>
              <w:bottom w:val="single" w:sz="8" w:space="0" w:color="auto"/>
              <w:right w:val="single" w:sz="8" w:space="0" w:color="auto"/>
            </w:tcBorders>
            <w:vAlign w:val="center"/>
            <w:hideMark/>
          </w:tcPr>
          <w:p w14:paraId="22C65CE5" w14:textId="77777777" w:rsidR="000C1E0E" w:rsidRDefault="000C1E0E" w:rsidP="0098752B">
            <w:pPr>
              <w:jc w:val="center"/>
              <w:rPr>
                <w:sz w:val="24"/>
                <w:szCs w:val="24"/>
              </w:rPr>
            </w:pPr>
            <w:r>
              <w:rPr>
                <w:sz w:val="24"/>
                <w:szCs w:val="24"/>
              </w:rPr>
              <w:t>ruAA-, ruA+</w:t>
            </w:r>
          </w:p>
        </w:tc>
        <w:tc>
          <w:tcPr>
            <w:tcW w:w="1691" w:type="dxa"/>
            <w:tcBorders>
              <w:top w:val="nil"/>
              <w:left w:val="nil"/>
              <w:bottom w:val="single" w:sz="8" w:space="0" w:color="auto"/>
              <w:right w:val="single" w:sz="8" w:space="0" w:color="auto"/>
            </w:tcBorders>
            <w:noWrap/>
            <w:vAlign w:val="center"/>
            <w:hideMark/>
          </w:tcPr>
          <w:p w14:paraId="2EE67876" w14:textId="77777777" w:rsidR="000C1E0E" w:rsidRDefault="000C1E0E" w:rsidP="0098752B">
            <w:pPr>
              <w:jc w:val="center"/>
              <w:rPr>
                <w:sz w:val="24"/>
                <w:szCs w:val="24"/>
              </w:rPr>
            </w:pPr>
            <w:r>
              <w:rPr>
                <w:sz w:val="24"/>
                <w:szCs w:val="24"/>
              </w:rPr>
              <w:t>Ва2</w:t>
            </w:r>
          </w:p>
        </w:tc>
        <w:tc>
          <w:tcPr>
            <w:tcW w:w="1700" w:type="dxa"/>
            <w:tcBorders>
              <w:top w:val="nil"/>
              <w:left w:val="nil"/>
              <w:bottom w:val="single" w:sz="8" w:space="0" w:color="auto"/>
              <w:right w:val="single" w:sz="8" w:space="0" w:color="auto"/>
            </w:tcBorders>
            <w:vAlign w:val="center"/>
            <w:hideMark/>
          </w:tcPr>
          <w:p w14:paraId="5AA81457" w14:textId="77777777" w:rsidR="000C1E0E" w:rsidRDefault="000C1E0E" w:rsidP="0098752B">
            <w:pPr>
              <w:jc w:val="center"/>
              <w:rPr>
                <w:sz w:val="24"/>
                <w:szCs w:val="24"/>
              </w:rPr>
            </w:pPr>
            <w:r>
              <w:rPr>
                <w:sz w:val="24"/>
                <w:szCs w:val="24"/>
              </w:rPr>
              <w:t>ВВ</w:t>
            </w:r>
          </w:p>
        </w:tc>
        <w:tc>
          <w:tcPr>
            <w:tcW w:w="1701" w:type="dxa"/>
            <w:tcBorders>
              <w:top w:val="nil"/>
              <w:left w:val="nil"/>
              <w:bottom w:val="single" w:sz="8" w:space="0" w:color="auto"/>
              <w:right w:val="single" w:sz="8" w:space="0" w:color="auto"/>
            </w:tcBorders>
            <w:noWrap/>
            <w:vAlign w:val="center"/>
            <w:hideMark/>
          </w:tcPr>
          <w:p w14:paraId="7D2146C3" w14:textId="77777777" w:rsidR="000C1E0E" w:rsidRDefault="000C1E0E" w:rsidP="0098752B">
            <w:pPr>
              <w:jc w:val="center"/>
              <w:rPr>
                <w:sz w:val="24"/>
                <w:szCs w:val="24"/>
              </w:rPr>
            </w:pPr>
            <w:r>
              <w:rPr>
                <w:sz w:val="24"/>
                <w:szCs w:val="24"/>
              </w:rPr>
              <w:t>ВВ</w:t>
            </w:r>
          </w:p>
        </w:tc>
        <w:tc>
          <w:tcPr>
            <w:tcW w:w="0" w:type="auto"/>
            <w:vMerge/>
            <w:tcBorders>
              <w:top w:val="single" w:sz="4" w:space="0" w:color="auto"/>
              <w:left w:val="single" w:sz="8" w:space="0" w:color="auto"/>
              <w:bottom w:val="single" w:sz="8" w:space="0" w:color="000000"/>
              <w:right w:val="single" w:sz="8" w:space="0" w:color="auto"/>
            </w:tcBorders>
            <w:vAlign w:val="center"/>
            <w:hideMark/>
          </w:tcPr>
          <w:p w14:paraId="00A49C08" w14:textId="77777777" w:rsidR="000C1E0E" w:rsidRDefault="000C1E0E" w:rsidP="0098752B">
            <w:pPr>
              <w:spacing w:line="240" w:lineRule="auto"/>
              <w:jc w:val="left"/>
              <w:rPr>
                <w:b/>
                <w:bCs/>
                <w:sz w:val="24"/>
                <w:szCs w:val="24"/>
              </w:rPr>
            </w:pPr>
          </w:p>
        </w:tc>
      </w:tr>
      <w:tr w:rsidR="000C1E0E" w14:paraId="722222BE" w14:textId="77777777" w:rsidTr="0098752B">
        <w:trPr>
          <w:trHeight w:val="345"/>
          <w:jc w:val="center"/>
        </w:trPr>
        <w:tc>
          <w:tcPr>
            <w:tcW w:w="1833" w:type="dxa"/>
            <w:tcBorders>
              <w:top w:val="nil"/>
              <w:left w:val="single" w:sz="8" w:space="0" w:color="auto"/>
              <w:bottom w:val="single" w:sz="8" w:space="0" w:color="auto"/>
              <w:right w:val="single" w:sz="8" w:space="0" w:color="auto"/>
            </w:tcBorders>
            <w:vAlign w:val="center"/>
            <w:hideMark/>
          </w:tcPr>
          <w:p w14:paraId="6C350595" w14:textId="77777777" w:rsidR="000C1E0E" w:rsidRDefault="000C1E0E" w:rsidP="0098752B">
            <w:pPr>
              <w:jc w:val="center"/>
              <w:rPr>
                <w:sz w:val="24"/>
                <w:szCs w:val="24"/>
              </w:rPr>
            </w:pPr>
            <w:r>
              <w:rPr>
                <w:sz w:val="24"/>
                <w:szCs w:val="24"/>
              </w:rPr>
              <w:t>A-(RU), BBB+(RU)</w:t>
            </w:r>
          </w:p>
        </w:tc>
        <w:tc>
          <w:tcPr>
            <w:tcW w:w="1287" w:type="dxa"/>
            <w:tcBorders>
              <w:top w:val="nil"/>
              <w:left w:val="nil"/>
              <w:bottom w:val="single" w:sz="8" w:space="0" w:color="auto"/>
              <w:right w:val="single" w:sz="8" w:space="0" w:color="auto"/>
            </w:tcBorders>
            <w:vAlign w:val="center"/>
            <w:hideMark/>
          </w:tcPr>
          <w:p w14:paraId="49241479" w14:textId="77777777" w:rsidR="000C1E0E" w:rsidRDefault="000C1E0E" w:rsidP="0098752B">
            <w:pPr>
              <w:jc w:val="center"/>
              <w:rPr>
                <w:sz w:val="24"/>
                <w:szCs w:val="24"/>
              </w:rPr>
            </w:pPr>
            <w:r>
              <w:rPr>
                <w:sz w:val="24"/>
                <w:szCs w:val="24"/>
              </w:rPr>
              <w:t>ruA, ruA-, ruBBB+</w:t>
            </w:r>
          </w:p>
        </w:tc>
        <w:tc>
          <w:tcPr>
            <w:tcW w:w="1691" w:type="dxa"/>
            <w:tcBorders>
              <w:top w:val="nil"/>
              <w:left w:val="nil"/>
              <w:bottom w:val="single" w:sz="8" w:space="0" w:color="auto"/>
              <w:right w:val="single" w:sz="8" w:space="0" w:color="auto"/>
            </w:tcBorders>
            <w:vAlign w:val="center"/>
            <w:hideMark/>
          </w:tcPr>
          <w:p w14:paraId="08323CA7" w14:textId="77777777" w:rsidR="000C1E0E" w:rsidRDefault="000C1E0E" w:rsidP="0098752B">
            <w:pPr>
              <w:jc w:val="center"/>
              <w:rPr>
                <w:sz w:val="24"/>
                <w:szCs w:val="24"/>
              </w:rPr>
            </w:pPr>
            <w:r>
              <w:rPr>
                <w:sz w:val="24"/>
                <w:szCs w:val="24"/>
              </w:rPr>
              <w:t>Ва3</w:t>
            </w:r>
          </w:p>
        </w:tc>
        <w:tc>
          <w:tcPr>
            <w:tcW w:w="1700" w:type="dxa"/>
            <w:tcBorders>
              <w:top w:val="nil"/>
              <w:left w:val="nil"/>
              <w:bottom w:val="single" w:sz="8" w:space="0" w:color="auto"/>
              <w:right w:val="single" w:sz="8" w:space="0" w:color="auto"/>
            </w:tcBorders>
            <w:vAlign w:val="center"/>
            <w:hideMark/>
          </w:tcPr>
          <w:p w14:paraId="0A4D8C37" w14:textId="77777777" w:rsidR="000C1E0E" w:rsidRDefault="000C1E0E" w:rsidP="0098752B">
            <w:pPr>
              <w:jc w:val="center"/>
              <w:rPr>
                <w:sz w:val="24"/>
                <w:szCs w:val="24"/>
              </w:rPr>
            </w:pPr>
            <w:r>
              <w:rPr>
                <w:sz w:val="24"/>
                <w:szCs w:val="24"/>
              </w:rPr>
              <w:t>ВВ-</w:t>
            </w:r>
          </w:p>
        </w:tc>
        <w:tc>
          <w:tcPr>
            <w:tcW w:w="1701" w:type="dxa"/>
            <w:tcBorders>
              <w:top w:val="nil"/>
              <w:left w:val="nil"/>
              <w:bottom w:val="single" w:sz="8" w:space="0" w:color="auto"/>
              <w:right w:val="single" w:sz="8" w:space="0" w:color="auto"/>
            </w:tcBorders>
            <w:vAlign w:val="center"/>
            <w:hideMark/>
          </w:tcPr>
          <w:p w14:paraId="5C08E0A3" w14:textId="77777777" w:rsidR="000C1E0E" w:rsidRDefault="000C1E0E" w:rsidP="0098752B">
            <w:pPr>
              <w:jc w:val="center"/>
              <w:rPr>
                <w:sz w:val="24"/>
                <w:szCs w:val="24"/>
              </w:rPr>
            </w:pPr>
            <w:r>
              <w:rPr>
                <w:sz w:val="24"/>
                <w:szCs w:val="24"/>
              </w:rPr>
              <w:t>ВВ-</w:t>
            </w:r>
          </w:p>
        </w:tc>
        <w:tc>
          <w:tcPr>
            <w:tcW w:w="0" w:type="auto"/>
            <w:vMerge/>
            <w:tcBorders>
              <w:top w:val="single" w:sz="4" w:space="0" w:color="auto"/>
              <w:left w:val="single" w:sz="8" w:space="0" w:color="auto"/>
              <w:bottom w:val="single" w:sz="8" w:space="0" w:color="000000"/>
              <w:right w:val="single" w:sz="8" w:space="0" w:color="auto"/>
            </w:tcBorders>
            <w:vAlign w:val="center"/>
            <w:hideMark/>
          </w:tcPr>
          <w:p w14:paraId="5B9EB211" w14:textId="77777777" w:rsidR="000C1E0E" w:rsidRDefault="000C1E0E" w:rsidP="0098752B">
            <w:pPr>
              <w:spacing w:line="240" w:lineRule="auto"/>
              <w:jc w:val="left"/>
              <w:rPr>
                <w:b/>
                <w:bCs/>
                <w:sz w:val="24"/>
                <w:szCs w:val="24"/>
              </w:rPr>
            </w:pPr>
          </w:p>
        </w:tc>
      </w:tr>
      <w:tr w:rsidR="000C1E0E" w14:paraId="2CFB9883" w14:textId="77777777" w:rsidTr="0098752B">
        <w:trPr>
          <w:trHeight w:val="345"/>
          <w:jc w:val="center"/>
        </w:trPr>
        <w:tc>
          <w:tcPr>
            <w:tcW w:w="1833" w:type="dxa"/>
            <w:tcBorders>
              <w:top w:val="nil"/>
              <w:left w:val="single" w:sz="8" w:space="0" w:color="auto"/>
              <w:bottom w:val="single" w:sz="8" w:space="0" w:color="auto"/>
              <w:right w:val="single" w:sz="8" w:space="0" w:color="auto"/>
            </w:tcBorders>
            <w:vAlign w:val="center"/>
            <w:hideMark/>
          </w:tcPr>
          <w:p w14:paraId="229BDACC" w14:textId="77777777" w:rsidR="000C1E0E" w:rsidRDefault="000C1E0E" w:rsidP="0098752B">
            <w:pPr>
              <w:jc w:val="center"/>
              <w:rPr>
                <w:sz w:val="24"/>
                <w:szCs w:val="24"/>
              </w:rPr>
            </w:pPr>
            <w:r>
              <w:rPr>
                <w:sz w:val="24"/>
                <w:szCs w:val="24"/>
              </w:rPr>
              <w:t>BBB(RU), BBB-(RU)</w:t>
            </w:r>
          </w:p>
        </w:tc>
        <w:tc>
          <w:tcPr>
            <w:tcW w:w="1287" w:type="dxa"/>
            <w:tcBorders>
              <w:top w:val="nil"/>
              <w:left w:val="nil"/>
              <w:bottom w:val="single" w:sz="8" w:space="0" w:color="auto"/>
              <w:right w:val="single" w:sz="8" w:space="0" w:color="auto"/>
            </w:tcBorders>
            <w:vAlign w:val="center"/>
            <w:hideMark/>
          </w:tcPr>
          <w:p w14:paraId="50257CAE" w14:textId="77777777" w:rsidR="000C1E0E" w:rsidRDefault="000C1E0E" w:rsidP="0098752B">
            <w:pPr>
              <w:jc w:val="center"/>
              <w:rPr>
                <w:sz w:val="24"/>
                <w:szCs w:val="24"/>
              </w:rPr>
            </w:pPr>
            <w:r>
              <w:rPr>
                <w:sz w:val="24"/>
                <w:szCs w:val="24"/>
              </w:rPr>
              <w:t>ruBBB</w:t>
            </w:r>
          </w:p>
        </w:tc>
        <w:tc>
          <w:tcPr>
            <w:tcW w:w="1691" w:type="dxa"/>
            <w:tcBorders>
              <w:top w:val="nil"/>
              <w:left w:val="nil"/>
              <w:bottom w:val="single" w:sz="8" w:space="0" w:color="auto"/>
              <w:right w:val="single" w:sz="8" w:space="0" w:color="auto"/>
            </w:tcBorders>
            <w:vAlign w:val="center"/>
            <w:hideMark/>
          </w:tcPr>
          <w:p w14:paraId="492CFE5F" w14:textId="77777777" w:rsidR="000C1E0E" w:rsidRDefault="000C1E0E" w:rsidP="0098752B">
            <w:pPr>
              <w:jc w:val="center"/>
              <w:rPr>
                <w:sz w:val="24"/>
                <w:szCs w:val="24"/>
              </w:rPr>
            </w:pPr>
            <w:r>
              <w:rPr>
                <w:sz w:val="24"/>
                <w:szCs w:val="24"/>
              </w:rPr>
              <w:t>В1</w:t>
            </w:r>
          </w:p>
        </w:tc>
        <w:tc>
          <w:tcPr>
            <w:tcW w:w="1700" w:type="dxa"/>
            <w:tcBorders>
              <w:top w:val="nil"/>
              <w:left w:val="nil"/>
              <w:bottom w:val="single" w:sz="8" w:space="0" w:color="auto"/>
              <w:right w:val="single" w:sz="8" w:space="0" w:color="auto"/>
            </w:tcBorders>
            <w:vAlign w:val="center"/>
            <w:hideMark/>
          </w:tcPr>
          <w:p w14:paraId="5E275036" w14:textId="77777777" w:rsidR="000C1E0E" w:rsidRDefault="000C1E0E" w:rsidP="0098752B">
            <w:pPr>
              <w:jc w:val="center"/>
              <w:rPr>
                <w:sz w:val="24"/>
                <w:szCs w:val="24"/>
              </w:rPr>
            </w:pPr>
            <w:r>
              <w:rPr>
                <w:sz w:val="24"/>
                <w:szCs w:val="24"/>
              </w:rPr>
              <w:t>В+</w:t>
            </w:r>
          </w:p>
        </w:tc>
        <w:tc>
          <w:tcPr>
            <w:tcW w:w="1701" w:type="dxa"/>
            <w:tcBorders>
              <w:top w:val="nil"/>
              <w:left w:val="nil"/>
              <w:bottom w:val="single" w:sz="8" w:space="0" w:color="auto"/>
              <w:right w:val="single" w:sz="8" w:space="0" w:color="auto"/>
            </w:tcBorders>
            <w:vAlign w:val="center"/>
            <w:hideMark/>
          </w:tcPr>
          <w:p w14:paraId="253D0F52" w14:textId="77777777" w:rsidR="000C1E0E" w:rsidRDefault="000C1E0E" w:rsidP="0098752B">
            <w:pPr>
              <w:jc w:val="center"/>
              <w:rPr>
                <w:sz w:val="24"/>
                <w:szCs w:val="24"/>
              </w:rPr>
            </w:pPr>
            <w:r>
              <w:rPr>
                <w:sz w:val="24"/>
                <w:szCs w:val="24"/>
              </w:rPr>
              <w:t>В+</w:t>
            </w:r>
          </w:p>
        </w:tc>
        <w:tc>
          <w:tcPr>
            <w:tcW w:w="1419" w:type="dxa"/>
            <w:vMerge w:val="restart"/>
            <w:tcBorders>
              <w:top w:val="nil"/>
              <w:left w:val="single" w:sz="8" w:space="0" w:color="auto"/>
              <w:bottom w:val="single" w:sz="8" w:space="0" w:color="000000"/>
              <w:right w:val="single" w:sz="8" w:space="0" w:color="auto"/>
            </w:tcBorders>
            <w:vAlign w:val="center"/>
            <w:hideMark/>
          </w:tcPr>
          <w:p w14:paraId="32817F40" w14:textId="77777777" w:rsidR="000C1E0E" w:rsidRDefault="000C1E0E" w:rsidP="0098752B">
            <w:pPr>
              <w:jc w:val="center"/>
              <w:rPr>
                <w:b/>
                <w:bCs/>
                <w:sz w:val="24"/>
                <w:szCs w:val="24"/>
                <w:lang w:val="en-US"/>
              </w:rPr>
            </w:pPr>
            <w:r>
              <w:rPr>
                <w:b/>
                <w:bCs/>
                <w:sz w:val="24"/>
                <w:szCs w:val="24"/>
              </w:rPr>
              <w:t>Рейтинговая группа II</w:t>
            </w:r>
            <w:r>
              <w:rPr>
                <w:b/>
                <w:bCs/>
                <w:sz w:val="24"/>
                <w:szCs w:val="24"/>
                <w:lang w:val="en-US"/>
              </w:rPr>
              <w:t>I</w:t>
            </w:r>
          </w:p>
        </w:tc>
      </w:tr>
      <w:tr w:rsidR="000C1E0E" w14:paraId="346346C2" w14:textId="77777777" w:rsidTr="0098752B">
        <w:trPr>
          <w:trHeight w:val="345"/>
          <w:jc w:val="center"/>
        </w:trPr>
        <w:tc>
          <w:tcPr>
            <w:tcW w:w="1833" w:type="dxa"/>
            <w:tcBorders>
              <w:top w:val="nil"/>
              <w:left w:val="single" w:sz="8" w:space="0" w:color="auto"/>
              <w:bottom w:val="single" w:sz="8" w:space="0" w:color="auto"/>
              <w:right w:val="single" w:sz="8" w:space="0" w:color="auto"/>
            </w:tcBorders>
            <w:vAlign w:val="center"/>
            <w:hideMark/>
          </w:tcPr>
          <w:p w14:paraId="4B16A066" w14:textId="77777777" w:rsidR="000C1E0E" w:rsidRDefault="000C1E0E" w:rsidP="0098752B">
            <w:pPr>
              <w:jc w:val="center"/>
              <w:rPr>
                <w:sz w:val="24"/>
                <w:szCs w:val="24"/>
              </w:rPr>
            </w:pPr>
            <w:r>
              <w:rPr>
                <w:sz w:val="24"/>
                <w:szCs w:val="24"/>
              </w:rPr>
              <w:t>BB+(RU)</w:t>
            </w:r>
          </w:p>
        </w:tc>
        <w:tc>
          <w:tcPr>
            <w:tcW w:w="1287" w:type="dxa"/>
            <w:tcBorders>
              <w:top w:val="nil"/>
              <w:left w:val="nil"/>
              <w:bottom w:val="single" w:sz="8" w:space="0" w:color="auto"/>
              <w:right w:val="single" w:sz="8" w:space="0" w:color="auto"/>
            </w:tcBorders>
            <w:vAlign w:val="center"/>
            <w:hideMark/>
          </w:tcPr>
          <w:p w14:paraId="3E14357B" w14:textId="77777777" w:rsidR="000C1E0E" w:rsidRDefault="000C1E0E" w:rsidP="0098752B">
            <w:pPr>
              <w:jc w:val="center"/>
              <w:rPr>
                <w:sz w:val="24"/>
                <w:szCs w:val="24"/>
              </w:rPr>
            </w:pPr>
            <w:r>
              <w:rPr>
                <w:sz w:val="24"/>
                <w:szCs w:val="24"/>
              </w:rPr>
              <w:t>ruBBB-, ruBB+</w:t>
            </w:r>
          </w:p>
        </w:tc>
        <w:tc>
          <w:tcPr>
            <w:tcW w:w="1691" w:type="dxa"/>
            <w:tcBorders>
              <w:top w:val="nil"/>
              <w:left w:val="nil"/>
              <w:bottom w:val="single" w:sz="8" w:space="0" w:color="auto"/>
              <w:right w:val="single" w:sz="8" w:space="0" w:color="auto"/>
            </w:tcBorders>
            <w:vAlign w:val="center"/>
            <w:hideMark/>
          </w:tcPr>
          <w:p w14:paraId="28549404" w14:textId="77777777" w:rsidR="000C1E0E" w:rsidRDefault="000C1E0E" w:rsidP="0098752B">
            <w:pPr>
              <w:jc w:val="center"/>
              <w:rPr>
                <w:sz w:val="24"/>
                <w:szCs w:val="24"/>
              </w:rPr>
            </w:pPr>
            <w:r>
              <w:rPr>
                <w:sz w:val="24"/>
                <w:szCs w:val="24"/>
              </w:rPr>
              <w:t>В2</w:t>
            </w:r>
          </w:p>
        </w:tc>
        <w:tc>
          <w:tcPr>
            <w:tcW w:w="1700" w:type="dxa"/>
            <w:tcBorders>
              <w:top w:val="nil"/>
              <w:left w:val="nil"/>
              <w:bottom w:val="single" w:sz="8" w:space="0" w:color="auto"/>
              <w:right w:val="single" w:sz="8" w:space="0" w:color="auto"/>
            </w:tcBorders>
            <w:vAlign w:val="center"/>
            <w:hideMark/>
          </w:tcPr>
          <w:p w14:paraId="4FBF193F" w14:textId="77777777" w:rsidR="000C1E0E" w:rsidRDefault="000C1E0E" w:rsidP="0098752B">
            <w:pPr>
              <w:jc w:val="center"/>
              <w:rPr>
                <w:sz w:val="24"/>
                <w:szCs w:val="24"/>
              </w:rPr>
            </w:pPr>
            <w:r>
              <w:rPr>
                <w:sz w:val="24"/>
                <w:szCs w:val="24"/>
              </w:rPr>
              <w:t>В</w:t>
            </w:r>
          </w:p>
        </w:tc>
        <w:tc>
          <w:tcPr>
            <w:tcW w:w="1701" w:type="dxa"/>
            <w:tcBorders>
              <w:top w:val="nil"/>
              <w:left w:val="nil"/>
              <w:bottom w:val="single" w:sz="8" w:space="0" w:color="auto"/>
              <w:right w:val="single" w:sz="8" w:space="0" w:color="auto"/>
            </w:tcBorders>
            <w:vAlign w:val="center"/>
            <w:hideMark/>
          </w:tcPr>
          <w:p w14:paraId="71385DC6" w14:textId="77777777" w:rsidR="000C1E0E" w:rsidRDefault="000C1E0E" w:rsidP="0098752B">
            <w:pPr>
              <w:jc w:val="center"/>
              <w:rPr>
                <w:sz w:val="24"/>
                <w:szCs w:val="24"/>
              </w:rPr>
            </w:pPr>
            <w:r>
              <w:rPr>
                <w:sz w:val="24"/>
                <w:szCs w:val="24"/>
              </w:rPr>
              <w:t>В</w:t>
            </w:r>
          </w:p>
        </w:tc>
        <w:tc>
          <w:tcPr>
            <w:tcW w:w="0" w:type="auto"/>
            <w:vMerge/>
            <w:tcBorders>
              <w:top w:val="nil"/>
              <w:left w:val="single" w:sz="8" w:space="0" w:color="auto"/>
              <w:bottom w:val="single" w:sz="8" w:space="0" w:color="000000"/>
              <w:right w:val="single" w:sz="8" w:space="0" w:color="auto"/>
            </w:tcBorders>
            <w:vAlign w:val="center"/>
            <w:hideMark/>
          </w:tcPr>
          <w:p w14:paraId="1A72779B" w14:textId="77777777" w:rsidR="000C1E0E" w:rsidRDefault="000C1E0E" w:rsidP="0098752B">
            <w:pPr>
              <w:spacing w:line="240" w:lineRule="auto"/>
              <w:jc w:val="left"/>
              <w:rPr>
                <w:b/>
                <w:bCs/>
                <w:sz w:val="24"/>
                <w:szCs w:val="24"/>
                <w:lang w:val="en-US"/>
              </w:rPr>
            </w:pPr>
          </w:p>
        </w:tc>
      </w:tr>
      <w:tr w:rsidR="000C1E0E" w14:paraId="1DA6BE23" w14:textId="77777777" w:rsidTr="0098752B">
        <w:trPr>
          <w:trHeight w:val="345"/>
          <w:jc w:val="center"/>
        </w:trPr>
        <w:tc>
          <w:tcPr>
            <w:tcW w:w="1833" w:type="dxa"/>
            <w:tcBorders>
              <w:top w:val="nil"/>
              <w:left w:val="single" w:sz="8" w:space="0" w:color="auto"/>
              <w:bottom w:val="single" w:sz="8" w:space="0" w:color="auto"/>
              <w:right w:val="single" w:sz="8" w:space="0" w:color="auto"/>
            </w:tcBorders>
            <w:vAlign w:val="center"/>
            <w:hideMark/>
          </w:tcPr>
          <w:p w14:paraId="5F9E44F6" w14:textId="77777777" w:rsidR="000C1E0E" w:rsidRDefault="000C1E0E" w:rsidP="0098752B">
            <w:pPr>
              <w:jc w:val="center"/>
              <w:rPr>
                <w:sz w:val="24"/>
                <w:szCs w:val="24"/>
              </w:rPr>
            </w:pPr>
            <w:r>
              <w:rPr>
                <w:sz w:val="24"/>
                <w:szCs w:val="24"/>
              </w:rPr>
              <w:t>BB(RU)</w:t>
            </w:r>
          </w:p>
        </w:tc>
        <w:tc>
          <w:tcPr>
            <w:tcW w:w="1287" w:type="dxa"/>
            <w:tcBorders>
              <w:top w:val="nil"/>
              <w:left w:val="nil"/>
              <w:bottom w:val="single" w:sz="8" w:space="0" w:color="auto"/>
              <w:right w:val="single" w:sz="8" w:space="0" w:color="auto"/>
            </w:tcBorders>
            <w:vAlign w:val="center"/>
            <w:hideMark/>
          </w:tcPr>
          <w:p w14:paraId="55C86BF4" w14:textId="77777777" w:rsidR="000C1E0E" w:rsidRDefault="000C1E0E" w:rsidP="0098752B">
            <w:pPr>
              <w:jc w:val="center"/>
              <w:rPr>
                <w:sz w:val="24"/>
                <w:szCs w:val="24"/>
              </w:rPr>
            </w:pPr>
            <w:r>
              <w:rPr>
                <w:sz w:val="24"/>
                <w:szCs w:val="24"/>
              </w:rPr>
              <w:t>ruBB</w:t>
            </w:r>
          </w:p>
        </w:tc>
        <w:tc>
          <w:tcPr>
            <w:tcW w:w="1691" w:type="dxa"/>
            <w:tcBorders>
              <w:top w:val="nil"/>
              <w:left w:val="nil"/>
              <w:bottom w:val="single" w:sz="8" w:space="0" w:color="auto"/>
              <w:right w:val="single" w:sz="8" w:space="0" w:color="auto"/>
            </w:tcBorders>
            <w:vAlign w:val="center"/>
            <w:hideMark/>
          </w:tcPr>
          <w:p w14:paraId="04E260A3" w14:textId="77777777" w:rsidR="000C1E0E" w:rsidRDefault="000C1E0E" w:rsidP="0098752B">
            <w:pPr>
              <w:jc w:val="center"/>
              <w:rPr>
                <w:sz w:val="24"/>
                <w:szCs w:val="24"/>
              </w:rPr>
            </w:pPr>
            <w:r>
              <w:rPr>
                <w:sz w:val="24"/>
                <w:szCs w:val="24"/>
              </w:rPr>
              <w:t>B3</w:t>
            </w:r>
          </w:p>
        </w:tc>
        <w:tc>
          <w:tcPr>
            <w:tcW w:w="1700" w:type="dxa"/>
            <w:tcBorders>
              <w:top w:val="nil"/>
              <w:left w:val="nil"/>
              <w:bottom w:val="single" w:sz="8" w:space="0" w:color="auto"/>
              <w:right w:val="single" w:sz="8" w:space="0" w:color="auto"/>
            </w:tcBorders>
            <w:vAlign w:val="center"/>
            <w:hideMark/>
          </w:tcPr>
          <w:p w14:paraId="7BA1FD64" w14:textId="77777777" w:rsidR="000C1E0E" w:rsidRDefault="000C1E0E" w:rsidP="0098752B">
            <w:pPr>
              <w:jc w:val="center"/>
              <w:rPr>
                <w:sz w:val="24"/>
                <w:szCs w:val="24"/>
              </w:rPr>
            </w:pPr>
            <w:r>
              <w:rPr>
                <w:sz w:val="24"/>
                <w:szCs w:val="24"/>
              </w:rPr>
              <w:t>B-</w:t>
            </w:r>
          </w:p>
        </w:tc>
        <w:tc>
          <w:tcPr>
            <w:tcW w:w="1701" w:type="dxa"/>
            <w:tcBorders>
              <w:top w:val="nil"/>
              <w:left w:val="nil"/>
              <w:bottom w:val="single" w:sz="8" w:space="0" w:color="auto"/>
              <w:right w:val="single" w:sz="8" w:space="0" w:color="auto"/>
            </w:tcBorders>
            <w:vAlign w:val="center"/>
            <w:hideMark/>
          </w:tcPr>
          <w:p w14:paraId="1082DDAB" w14:textId="77777777" w:rsidR="000C1E0E" w:rsidRDefault="000C1E0E" w:rsidP="0098752B">
            <w:pPr>
              <w:jc w:val="center"/>
              <w:rPr>
                <w:sz w:val="24"/>
                <w:szCs w:val="24"/>
              </w:rPr>
            </w:pPr>
            <w:r>
              <w:rPr>
                <w:sz w:val="24"/>
                <w:szCs w:val="24"/>
              </w:rPr>
              <w:t>B-</w:t>
            </w:r>
          </w:p>
        </w:tc>
        <w:tc>
          <w:tcPr>
            <w:tcW w:w="0" w:type="auto"/>
            <w:vMerge/>
            <w:tcBorders>
              <w:top w:val="nil"/>
              <w:left w:val="single" w:sz="8" w:space="0" w:color="auto"/>
              <w:bottom w:val="single" w:sz="8" w:space="0" w:color="000000"/>
              <w:right w:val="single" w:sz="8" w:space="0" w:color="auto"/>
            </w:tcBorders>
            <w:vAlign w:val="center"/>
            <w:hideMark/>
          </w:tcPr>
          <w:p w14:paraId="077E91A9" w14:textId="77777777" w:rsidR="000C1E0E" w:rsidRDefault="000C1E0E" w:rsidP="0098752B">
            <w:pPr>
              <w:spacing w:line="240" w:lineRule="auto"/>
              <w:jc w:val="left"/>
              <w:rPr>
                <w:b/>
                <w:bCs/>
                <w:sz w:val="24"/>
                <w:szCs w:val="24"/>
                <w:lang w:val="en-US"/>
              </w:rPr>
            </w:pPr>
          </w:p>
        </w:tc>
      </w:tr>
      <w:tr w:rsidR="000C1E0E" w14:paraId="1F98E2BD" w14:textId="77777777" w:rsidTr="0098752B">
        <w:trPr>
          <w:trHeight w:val="345"/>
          <w:jc w:val="center"/>
        </w:trPr>
        <w:tc>
          <w:tcPr>
            <w:tcW w:w="8212" w:type="dxa"/>
            <w:gridSpan w:val="5"/>
            <w:tcBorders>
              <w:top w:val="single" w:sz="8" w:space="0" w:color="auto"/>
              <w:left w:val="single" w:sz="8" w:space="0" w:color="auto"/>
              <w:bottom w:val="single" w:sz="8" w:space="0" w:color="auto"/>
              <w:right w:val="single" w:sz="8" w:space="0" w:color="000000"/>
            </w:tcBorders>
            <w:vAlign w:val="center"/>
            <w:hideMark/>
          </w:tcPr>
          <w:p w14:paraId="20D911F8" w14:textId="77777777" w:rsidR="000C1E0E" w:rsidRDefault="000C1E0E" w:rsidP="0098752B">
            <w:pPr>
              <w:jc w:val="center"/>
              <w:rPr>
                <w:sz w:val="24"/>
                <w:szCs w:val="24"/>
              </w:rPr>
            </w:pPr>
            <w:r>
              <w:rPr>
                <w:sz w:val="24"/>
                <w:szCs w:val="24"/>
              </w:rPr>
              <w:t>Более низкий рейтинг / рейтинг отсутствует</w:t>
            </w:r>
          </w:p>
        </w:tc>
        <w:tc>
          <w:tcPr>
            <w:tcW w:w="1419" w:type="dxa"/>
            <w:tcBorders>
              <w:top w:val="nil"/>
              <w:left w:val="nil"/>
              <w:bottom w:val="single" w:sz="8" w:space="0" w:color="auto"/>
              <w:right w:val="single" w:sz="8" w:space="0" w:color="auto"/>
            </w:tcBorders>
            <w:noWrap/>
            <w:vAlign w:val="center"/>
            <w:hideMark/>
          </w:tcPr>
          <w:p w14:paraId="429314FC" w14:textId="77777777" w:rsidR="000C1E0E" w:rsidRDefault="000C1E0E" w:rsidP="0098752B">
            <w:pPr>
              <w:jc w:val="center"/>
              <w:rPr>
                <w:b/>
                <w:bCs/>
                <w:sz w:val="24"/>
                <w:szCs w:val="24"/>
                <w:lang w:val="en-US"/>
              </w:rPr>
            </w:pPr>
            <w:r>
              <w:rPr>
                <w:b/>
                <w:bCs/>
                <w:sz w:val="24"/>
                <w:szCs w:val="24"/>
              </w:rPr>
              <w:t>Рейтинговая группа I</w:t>
            </w:r>
            <w:r>
              <w:rPr>
                <w:b/>
                <w:bCs/>
                <w:sz w:val="24"/>
                <w:szCs w:val="24"/>
                <w:lang w:val="en-US"/>
              </w:rPr>
              <w:t>V</w:t>
            </w:r>
          </w:p>
        </w:tc>
      </w:tr>
    </w:tbl>
    <w:p w14:paraId="473F224F" w14:textId="77777777" w:rsidR="000C1E0E" w:rsidRDefault="000C1E0E" w:rsidP="000C1E0E">
      <w:pPr>
        <w:ind w:firstLine="708"/>
        <w:rPr>
          <w:sz w:val="24"/>
          <w:szCs w:val="24"/>
        </w:rPr>
      </w:pPr>
    </w:p>
    <w:p w14:paraId="5C140CA3" w14:textId="77777777" w:rsidR="000C1E0E" w:rsidRDefault="000C1E0E" w:rsidP="000C1E0E">
      <w:pPr>
        <w:numPr>
          <w:ilvl w:val="0"/>
          <w:numId w:val="14"/>
        </w:numPr>
        <w:spacing w:after="200" w:line="360" w:lineRule="auto"/>
        <w:ind w:left="284" w:firstLine="567"/>
        <w:contextualSpacing/>
        <w:jc w:val="left"/>
        <w:rPr>
          <w:rFonts w:ascii="Times New Roman" w:eastAsiaTheme="minorHAnsi" w:hAnsi="Times New Roman"/>
          <w:sz w:val="24"/>
          <w:szCs w:val="24"/>
          <w:lang w:eastAsia="en-US"/>
        </w:rPr>
      </w:pPr>
      <w:r>
        <w:rPr>
          <w:rFonts w:ascii="Times New Roman" w:eastAsiaTheme="minorHAnsi" w:hAnsi="Times New Roman"/>
          <w:sz w:val="24"/>
          <w:szCs w:val="24"/>
          <w:lang w:eastAsia="en-US"/>
        </w:rPr>
        <w:t xml:space="preserve">Рейтинговая группа I </w:t>
      </w:r>
    </w:p>
    <w:p w14:paraId="08359E30" w14:textId="77777777" w:rsidR="000C1E0E" w:rsidRDefault="000C1E0E" w:rsidP="000C1E0E">
      <w:pPr>
        <w:pStyle w:val="afc"/>
        <w:ind w:left="567"/>
        <w:rPr>
          <w:rFonts w:ascii="Times New Roman" w:hAnsi="Times New Roman"/>
          <w:sz w:val="24"/>
          <w:szCs w:val="24"/>
        </w:rPr>
      </w:pPr>
      <w:r>
        <w:rPr>
          <w:rFonts w:ascii="Times New Roman" w:hAnsi="Times New Roman"/>
          <w:sz w:val="24"/>
          <w:szCs w:val="24"/>
        </w:rPr>
        <w:t xml:space="preserve">    Индекс корпоративных облигаций (1-3 года, рейтинг ≥ BBB-), </w:t>
      </w:r>
    </w:p>
    <w:p w14:paraId="0C024A2B" w14:textId="77777777" w:rsidR="000C1E0E" w:rsidRDefault="000C1E0E" w:rsidP="000C1E0E">
      <w:pPr>
        <w:ind w:left="567"/>
        <w:rPr>
          <w:rFonts w:ascii="Times New Roman" w:hAnsi="Times New Roman"/>
          <w:b/>
          <w:sz w:val="24"/>
          <w:szCs w:val="24"/>
        </w:rPr>
      </w:pPr>
      <w:r>
        <w:rPr>
          <w:rFonts w:ascii="Times New Roman" w:hAnsi="Times New Roman"/>
          <w:sz w:val="24"/>
          <w:szCs w:val="24"/>
        </w:rPr>
        <w:t xml:space="preserve">    Тикер - </w:t>
      </w:r>
      <w:r>
        <w:rPr>
          <w:rFonts w:ascii="Times New Roman" w:hAnsi="Times New Roman"/>
          <w:b/>
          <w:sz w:val="24"/>
          <w:szCs w:val="24"/>
        </w:rPr>
        <w:t>RUCBICPBBB3Y;</w:t>
      </w:r>
    </w:p>
    <w:p w14:paraId="4EE405F9" w14:textId="77777777" w:rsidR="000C1E0E" w:rsidRDefault="000C1E0E" w:rsidP="000C1E0E">
      <w:pPr>
        <w:ind w:left="567"/>
        <w:rPr>
          <w:rFonts w:ascii="Times New Roman" w:hAnsi="Times New Roman"/>
          <w:sz w:val="24"/>
          <w:szCs w:val="24"/>
        </w:rPr>
      </w:pPr>
    </w:p>
    <w:p w14:paraId="1CC5FDB2" w14:textId="77777777" w:rsidR="000C1E0E" w:rsidRDefault="000C1E0E" w:rsidP="000C1E0E">
      <w:pPr>
        <w:numPr>
          <w:ilvl w:val="0"/>
          <w:numId w:val="14"/>
        </w:numPr>
        <w:spacing w:after="200" w:line="360" w:lineRule="auto"/>
        <w:ind w:left="284" w:firstLine="567"/>
        <w:contextualSpacing/>
        <w:jc w:val="left"/>
        <w:rPr>
          <w:rFonts w:ascii="Times New Roman" w:eastAsiaTheme="minorHAnsi" w:hAnsi="Times New Roman"/>
          <w:sz w:val="24"/>
          <w:szCs w:val="24"/>
          <w:lang w:eastAsia="en-US"/>
        </w:rPr>
      </w:pPr>
      <w:r>
        <w:rPr>
          <w:rFonts w:ascii="Times New Roman" w:eastAsiaTheme="minorHAnsi" w:hAnsi="Times New Roman"/>
          <w:sz w:val="24"/>
          <w:szCs w:val="24"/>
          <w:lang w:eastAsia="en-US"/>
        </w:rPr>
        <w:t>- Рейтинговая группа II</w:t>
      </w:r>
    </w:p>
    <w:p w14:paraId="72A26024" w14:textId="77777777" w:rsidR="000C1E0E" w:rsidRDefault="000C1E0E" w:rsidP="000C1E0E">
      <w:pPr>
        <w:pStyle w:val="afc"/>
        <w:ind w:left="567"/>
        <w:rPr>
          <w:rFonts w:ascii="Times New Roman" w:hAnsi="Times New Roman"/>
          <w:sz w:val="24"/>
          <w:szCs w:val="24"/>
        </w:rPr>
      </w:pPr>
      <w:r>
        <w:rPr>
          <w:rFonts w:ascii="Times New Roman" w:hAnsi="Times New Roman"/>
          <w:sz w:val="24"/>
          <w:szCs w:val="24"/>
        </w:rPr>
        <w:t xml:space="preserve">   Индекс корпоративных облигаций (1-3 года, BB- ≤рейтин &lt; BBB-), </w:t>
      </w:r>
    </w:p>
    <w:p w14:paraId="5A4F340C" w14:textId="77777777" w:rsidR="000C1E0E" w:rsidRDefault="000C1E0E" w:rsidP="000C1E0E">
      <w:pPr>
        <w:ind w:left="567"/>
        <w:rPr>
          <w:rFonts w:ascii="Times New Roman" w:hAnsi="Times New Roman"/>
          <w:b/>
          <w:sz w:val="24"/>
          <w:szCs w:val="24"/>
        </w:rPr>
      </w:pPr>
      <w:r>
        <w:rPr>
          <w:rFonts w:ascii="Times New Roman" w:hAnsi="Times New Roman"/>
          <w:sz w:val="24"/>
          <w:szCs w:val="24"/>
        </w:rPr>
        <w:t xml:space="preserve">   Тикер - </w:t>
      </w:r>
      <w:r>
        <w:rPr>
          <w:rFonts w:ascii="Times New Roman" w:hAnsi="Times New Roman"/>
          <w:b/>
          <w:sz w:val="24"/>
          <w:szCs w:val="24"/>
        </w:rPr>
        <w:t>RUCBICPBB3Y;</w:t>
      </w:r>
    </w:p>
    <w:p w14:paraId="2B8C8AA6" w14:textId="77777777" w:rsidR="000C1E0E" w:rsidRDefault="000C1E0E" w:rsidP="000C1E0E">
      <w:pPr>
        <w:ind w:left="567"/>
        <w:rPr>
          <w:rFonts w:ascii="Times New Roman" w:hAnsi="Times New Roman"/>
          <w:sz w:val="24"/>
          <w:szCs w:val="24"/>
        </w:rPr>
      </w:pPr>
    </w:p>
    <w:p w14:paraId="49AFD76C" w14:textId="77777777" w:rsidR="000C1E0E" w:rsidRDefault="000C1E0E" w:rsidP="000C1E0E">
      <w:pPr>
        <w:numPr>
          <w:ilvl w:val="0"/>
          <w:numId w:val="14"/>
        </w:numPr>
        <w:spacing w:after="200" w:line="360" w:lineRule="auto"/>
        <w:ind w:left="284" w:firstLine="567"/>
        <w:contextualSpacing/>
        <w:jc w:val="left"/>
        <w:rPr>
          <w:rFonts w:ascii="Times New Roman" w:eastAsiaTheme="minorHAnsi" w:hAnsi="Times New Roman"/>
          <w:sz w:val="24"/>
          <w:szCs w:val="24"/>
          <w:lang w:eastAsia="en-US"/>
        </w:rPr>
      </w:pPr>
      <w:r>
        <w:rPr>
          <w:rFonts w:ascii="Times New Roman" w:eastAsiaTheme="minorHAnsi" w:hAnsi="Times New Roman"/>
          <w:sz w:val="24"/>
          <w:szCs w:val="24"/>
          <w:lang w:eastAsia="en-US"/>
        </w:rPr>
        <w:t xml:space="preserve">- Рейтинговая группа III </w:t>
      </w:r>
    </w:p>
    <w:p w14:paraId="79E83142" w14:textId="77777777" w:rsidR="000C1E0E" w:rsidRDefault="000C1E0E" w:rsidP="000C1E0E">
      <w:pPr>
        <w:pStyle w:val="afc"/>
        <w:ind w:left="567"/>
        <w:rPr>
          <w:rFonts w:ascii="Times New Roman" w:hAnsi="Times New Roman"/>
          <w:sz w:val="24"/>
          <w:szCs w:val="24"/>
        </w:rPr>
      </w:pPr>
      <w:r>
        <w:rPr>
          <w:rFonts w:ascii="Times New Roman" w:hAnsi="Times New Roman"/>
          <w:sz w:val="24"/>
          <w:szCs w:val="24"/>
        </w:rPr>
        <w:t xml:space="preserve">   Индекс корпоративных облигаций (1-3 года, B- ≤ рейтинг &lt; BB-), </w:t>
      </w:r>
    </w:p>
    <w:p w14:paraId="5BB6A7D0" w14:textId="77777777" w:rsidR="000C1E0E" w:rsidRDefault="000C1E0E" w:rsidP="000C1E0E">
      <w:pPr>
        <w:ind w:left="567"/>
        <w:rPr>
          <w:rFonts w:ascii="Times New Roman" w:hAnsi="Times New Roman"/>
          <w:b/>
          <w:sz w:val="24"/>
          <w:szCs w:val="24"/>
        </w:rPr>
      </w:pPr>
      <w:r>
        <w:rPr>
          <w:rFonts w:ascii="Times New Roman" w:hAnsi="Times New Roman"/>
          <w:sz w:val="24"/>
          <w:szCs w:val="24"/>
        </w:rPr>
        <w:t xml:space="preserve">   Тикер - </w:t>
      </w:r>
      <w:r>
        <w:rPr>
          <w:rFonts w:ascii="Times New Roman" w:hAnsi="Times New Roman"/>
          <w:b/>
          <w:sz w:val="24"/>
          <w:szCs w:val="24"/>
        </w:rPr>
        <w:t>RUCBICPB3Y;</w:t>
      </w:r>
    </w:p>
    <w:p w14:paraId="0950B38D" w14:textId="77777777" w:rsidR="000C1E0E" w:rsidRDefault="000C1E0E" w:rsidP="000C1E0E">
      <w:pPr>
        <w:ind w:left="567"/>
        <w:rPr>
          <w:rFonts w:ascii="Times New Roman" w:hAnsi="Times New Roman"/>
          <w:sz w:val="24"/>
          <w:szCs w:val="24"/>
        </w:rPr>
      </w:pPr>
    </w:p>
    <w:p w14:paraId="7804EBA8" w14:textId="77777777" w:rsidR="000C1E0E" w:rsidRDefault="000C1E0E" w:rsidP="000C1E0E">
      <w:pPr>
        <w:numPr>
          <w:ilvl w:val="0"/>
          <w:numId w:val="14"/>
        </w:numPr>
        <w:spacing w:after="200" w:line="360" w:lineRule="auto"/>
        <w:ind w:left="284" w:firstLine="567"/>
        <w:contextualSpacing/>
        <w:jc w:val="left"/>
        <w:rPr>
          <w:rFonts w:ascii="Times New Roman" w:eastAsiaTheme="minorHAnsi" w:hAnsi="Times New Roman"/>
          <w:sz w:val="24"/>
          <w:szCs w:val="24"/>
          <w:lang w:eastAsia="en-US"/>
        </w:rPr>
      </w:pPr>
      <w:r>
        <w:rPr>
          <w:rFonts w:ascii="Times New Roman" w:eastAsiaTheme="minorHAnsi" w:hAnsi="Times New Roman"/>
          <w:sz w:val="24"/>
          <w:szCs w:val="24"/>
          <w:lang w:eastAsia="en-US"/>
        </w:rPr>
        <w:t>- Рейтинговая группа IV</w:t>
      </w:r>
    </w:p>
    <w:p w14:paraId="6FD17826" w14:textId="77777777" w:rsidR="000C1E0E" w:rsidRDefault="000C1E0E" w:rsidP="000C1E0E">
      <w:pPr>
        <w:pStyle w:val="afc"/>
        <w:ind w:left="851"/>
        <w:rPr>
          <w:rFonts w:ascii="Times New Roman" w:hAnsi="Times New Roman"/>
          <w:sz w:val="24"/>
          <w:szCs w:val="24"/>
        </w:rPr>
      </w:pPr>
      <w:r>
        <w:rPr>
          <w:rFonts w:ascii="Times New Roman" w:hAnsi="Times New Roman"/>
          <w:sz w:val="24"/>
          <w:szCs w:val="24"/>
        </w:rPr>
        <w:t xml:space="preserve">выбирается Индекс в зависимости от котировального уровня, в который входит долговая   ценная бумага: Индекс котировальных листов (котировальный уровень 2) или Индекс котировальных листов (котировальный уровень 3), </w:t>
      </w:r>
    </w:p>
    <w:p w14:paraId="51FB4E34" w14:textId="77777777" w:rsidR="000C1E0E" w:rsidRDefault="000C1E0E" w:rsidP="000C1E0E">
      <w:pPr>
        <w:ind w:left="851"/>
        <w:rPr>
          <w:rFonts w:ascii="Times New Roman" w:hAnsi="Times New Roman"/>
          <w:sz w:val="24"/>
          <w:szCs w:val="24"/>
        </w:rPr>
      </w:pPr>
      <w:r>
        <w:rPr>
          <w:rFonts w:ascii="Times New Roman" w:hAnsi="Times New Roman"/>
          <w:sz w:val="24"/>
          <w:szCs w:val="24"/>
        </w:rPr>
        <w:t xml:space="preserve">Тикер - </w:t>
      </w:r>
      <w:r>
        <w:rPr>
          <w:rFonts w:ascii="Times New Roman" w:hAnsi="Times New Roman"/>
          <w:b/>
          <w:sz w:val="24"/>
          <w:szCs w:val="24"/>
        </w:rPr>
        <w:t>RUCBICPL2</w:t>
      </w:r>
      <w:r>
        <w:rPr>
          <w:rFonts w:ascii="Times New Roman" w:hAnsi="Times New Roman"/>
          <w:sz w:val="24"/>
          <w:szCs w:val="24"/>
        </w:rPr>
        <w:t xml:space="preserve"> </w:t>
      </w:r>
    </w:p>
    <w:p w14:paraId="30F3F93B" w14:textId="77777777" w:rsidR="000C1E0E" w:rsidRDefault="000C1E0E" w:rsidP="000C1E0E">
      <w:pPr>
        <w:ind w:left="851"/>
        <w:rPr>
          <w:rFonts w:ascii="Times New Roman" w:hAnsi="Times New Roman"/>
          <w:sz w:val="24"/>
          <w:szCs w:val="24"/>
        </w:rPr>
      </w:pPr>
      <w:r>
        <w:rPr>
          <w:rFonts w:ascii="Times New Roman" w:hAnsi="Times New Roman"/>
          <w:sz w:val="24"/>
          <w:szCs w:val="24"/>
        </w:rPr>
        <w:t>Тикер -</w:t>
      </w:r>
      <w:r>
        <w:rPr>
          <w:rFonts w:ascii="Times New Roman" w:hAnsi="Times New Roman"/>
          <w:b/>
          <w:sz w:val="24"/>
          <w:szCs w:val="24"/>
        </w:rPr>
        <w:t>RUCBICPL3</w:t>
      </w:r>
      <w:r>
        <w:rPr>
          <w:rFonts w:ascii="Times New Roman" w:hAnsi="Times New Roman"/>
          <w:sz w:val="24"/>
          <w:szCs w:val="24"/>
        </w:rPr>
        <w:t>.</w:t>
      </w:r>
    </w:p>
    <w:p w14:paraId="1AAD2C32" w14:textId="77777777" w:rsidR="000C1E0E" w:rsidRDefault="000C1E0E" w:rsidP="000C1E0E">
      <w:pPr>
        <w:pStyle w:val="afc"/>
        <w:ind w:left="1224"/>
        <w:rPr>
          <w:rFonts w:ascii="Times New Roman" w:hAnsi="Times New Roman"/>
          <w:sz w:val="24"/>
          <w:szCs w:val="24"/>
        </w:rPr>
      </w:pPr>
      <w:r>
        <w:rPr>
          <w:rFonts w:ascii="Times New Roman" w:hAnsi="Times New Roman"/>
          <w:sz w:val="24"/>
          <w:szCs w:val="24"/>
        </w:rPr>
        <w:t xml:space="preserve"> </w:t>
      </w:r>
    </w:p>
    <w:p w14:paraId="008532E4" w14:textId="77777777" w:rsidR="000C1E0E" w:rsidRDefault="000C1E0E" w:rsidP="000C1E0E">
      <w:pPr>
        <w:pStyle w:val="afc"/>
        <w:numPr>
          <w:ilvl w:val="2"/>
          <w:numId w:val="18"/>
        </w:numPr>
        <w:spacing w:after="160" w:line="256" w:lineRule="auto"/>
        <w:jc w:val="both"/>
        <w:rPr>
          <w:rFonts w:ascii="Times New Roman" w:hAnsi="Times New Roman"/>
          <w:sz w:val="24"/>
          <w:szCs w:val="24"/>
        </w:rPr>
      </w:pPr>
      <w:r>
        <w:rPr>
          <w:rFonts w:ascii="Times New Roman" w:hAnsi="Times New Roman"/>
          <w:sz w:val="24"/>
          <w:szCs w:val="24"/>
        </w:rPr>
        <w:t>Если эмитент не имеет рейтинга, то используется подход «рейтинга по доходности». Для этого на последнюю дату, на которую имеется цена активного рынка (или на дату определения последнего купона или последней оферты), определяется наиболее близкий по доходности индекс облигаций, облигация в дальнейшем считается принадлежащей к этой категории рейтингов.</w:t>
      </w:r>
    </w:p>
    <w:p w14:paraId="10FDF533" w14:textId="77777777" w:rsidR="000C1E0E" w:rsidRDefault="000C1E0E" w:rsidP="000C1E0E">
      <w:pPr>
        <w:pStyle w:val="afc"/>
        <w:numPr>
          <w:ilvl w:val="0"/>
          <w:numId w:val="18"/>
        </w:numPr>
        <w:spacing w:after="160" w:line="256" w:lineRule="auto"/>
        <w:jc w:val="both"/>
        <w:rPr>
          <w:rFonts w:ascii="Times New Roman" w:hAnsi="Times New Roman"/>
          <w:b/>
          <w:i/>
          <w:sz w:val="24"/>
          <w:szCs w:val="24"/>
        </w:rPr>
      </w:pPr>
      <w:r>
        <w:rPr>
          <w:rFonts w:ascii="Times New Roman" w:hAnsi="Times New Roman"/>
          <w:b/>
          <w:i/>
          <w:sz w:val="24"/>
          <w:szCs w:val="24"/>
        </w:rPr>
        <w:t>По эмитенту/облигации происходило резкое изменение кредитного качества.</w:t>
      </w:r>
    </w:p>
    <w:p w14:paraId="79B46AFC" w14:textId="77777777" w:rsidR="000C1E0E" w:rsidRDefault="000C1E0E" w:rsidP="000C1E0E">
      <w:pPr>
        <w:pStyle w:val="afc"/>
        <w:numPr>
          <w:ilvl w:val="1"/>
          <w:numId w:val="18"/>
        </w:numPr>
        <w:spacing w:after="160" w:line="256" w:lineRule="auto"/>
        <w:jc w:val="both"/>
        <w:rPr>
          <w:rFonts w:ascii="Times New Roman" w:hAnsi="Times New Roman"/>
          <w:sz w:val="24"/>
          <w:szCs w:val="24"/>
        </w:rPr>
      </w:pPr>
      <w:r>
        <w:rPr>
          <w:rFonts w:ascii="Times New Roman" w:hAnsi="Times New Roman"/>
          <w:sz w:val="24"/>
          <w:szCs w:val="24"/>
        </w:rPr>
        <w:t>Если произошло улучшение кредитного качества в следствии покупки эмитента компанией с большей кредитоспособностью (более высоким рейтингом), то при определении неизвестных купонов в порядке, описанном в п. 1, в качестве аналогичных выпусков используются облигации компании-покупателя.</w:t>
      </w:r>
    </w:p>
    <w:p w14:paraId="19793980" w14:textId="77777777" w:rsidR="000C1E0E" w:rsidRDefault="000C1E0E" w:rsidP="000C1E0E">
      <w:pPr>
        <w:pStyle w:val="afc"/>
        <w:ind w:left="1224"/>
        <w:rPr>
          <w:rFonts w:ascii="Times New Roman" w:hAnsi="Times New Roman"/>
          <w:sz w:val="24"/>
          <w:szCs w:val="24"/>
        </w:rPr>
      </w:pPr>
    </w:p>
    <w:p w14:paraId="5A9FAD9A" w14:textId="77777777" w:rsidR="000C1E0E" w:rsidRDefault="000C1E0E" w:rsidP="000C1E0E">
      <w:pPr>
        <w:pStyle w:val="afc"/>
        <w:numPr>
          <w:ilvl w:val="1"/>
          <w:numId w:val="18"/>
        </w:numPr>
        <w:spacing w:after="160" w:line="256" w:lineRule="auto"/>
        <w:jc w:val="both"/>
        <w:rPr>
          <w:rFonts w:ascii="Times New Roman" w:hAnsi="Times New Roman"/>
          <w:sz w:val="24"/>
          <w:szCs w:val="24"/>
        </w:rPr>
      </w:pPr>
      <w:r>
        <w:rPr>
          <w:rFonts w:ascii="Times New Roman" w:hAnsi="Times New Roman"/>
          <w:sz w:val="24"/>
          <w:szCs w:val="24"/>
        </w:rPr>
        <w:t xml:space="preserve">Если произошло ухудшение кредитного качества (снижение рейтинга, корпоративный конфликт, значимые претензии контрагентов или государственных органов и т.п.), то определяются аналогичные ситуации с другими эмитентами в прошлом. В качестве базы для определения доходности для расчета величины неизвестных купонов используется относительный рост спрэда подвергнувшегося стрессу эмитента в прошлом, умноженный на кредитный спрэд оцениваемого эмитента до момента стрессового события. Относительный рост спрэда рассчитывается как отношение среднего спрэда за 10 (десять) дней с момента стрессового события к спрэду до стрессового события. При этом в течении указанных десяти дней должно быть не менее 5 (пяти) дней, на которые по результатам торгов есть цены, используемые для оценки на активном рынке. В случае если таких дней менее пяти, то для расчета относительного спрэда используются первые такие пять дней. </w:t>
      </w:r>
    </w:p>
    <w:p w14:paraId="3AD3DF70" w14:textId="77777777" w:rsidR="000C1E0E" w:rsidRDefault="000C1E0E" w:rsidP="000C1E0E">
      <w:pPr>
        <w:pStyle w:val="afc"/>
        <w:rPr>
          <w:rFonts w:ascii="Times New Roman" w:hAnsi="Times New Roman"/>
          <w:b/>
          <w:i/>
          <w:sz w:val="24"/>
          <w:szCs w:val="24"/>
        </w:rPr>
      </w:pPr>
    </w:p>
    <w:p w14:paraId="6D2F9424" w14:textId="77777777" w:rsidR="000C1E0E" w:rsidRDefault="000C1E0E" w:rsidP="000C1E0E">
      <w:pPr>
        <w:pStyle w:val="afc"/>
        <w:numPr>
          <w:ilvl w:val="1"/>
          <w:numId w:val="18"/>
        </w:numPr>
        <w:spacing w:after="160" w:line="256" w:lineRule="auto"/>
        <w:jc w:val="both"/>
        <w:rPr>
          <w:rFonts w:ascii="Times New Roman" w:hAnsi="Times New Roman"/>
          <w:sz w:val="24"/>
          <w:szCs w:val="24"/>
        </w:rPr>
      </w:pPr>
      <w:r>
        <w:rPr>
          <w:rFonts w:ascii="Times New Roman" w:hAnsi="Times New Roman"/>
          <w:sz w:val="24"/>
          <w:szCs w:val="24"/>
        </w:rPr>
        <w:t>Резкое изменение кредитного качества может признаваться в следующих случаях (включая, но не ограничиваясь):</w:t>
      </w:r>
    </w:p>
    <w:p w14:paraId="55531BB8" w14:textId="77777777" w:rsidR="000C1E0E" w:rsidRDefault="000C1E0E" w:rsidP="000C1E0E">
      <w:pPr>
        <w:pStyle w:val="afc"/>
        <w:spacing w:after="160" w:line="256" w:lineRule="auto"/>
        <w:jc w:val="both"/>
        <w:rPr>
          <w:rFonts w:ascii="Times New Roman" w:hAnsi="Times New Roman"/>
          <w:sz w:val="24"/>
          <w:szCs w:val="24"/>
        </w:rPr>
      </w:pPr>
      <w:r>
        <w:rPr>
          <w:rFonts w:ascii="Times New Roman" w:hAnsi="Times New Roman"/>
          <w:sz w:val="24"/>
          <w:szCs w:val="24"/>
        </w:rPr>
        <w:t>- снижение/рост рейтинга выпуска/эмитента;</w:t>
      </w:r>
    </w:p>
    <w:p w14:paraId="705B383C" w14:textId="77777777" w:rsidR="000C1E0E" w:rsidRDefault="000C1E0E" w:rsidP="000C1E0E">
      <w:pPr>
        <w:pStyle w:val="afc"/>
        <w:spacing w:after="160" w:line="256" w:lineRule="auto"/>
        <w:jc w:val="both"/>
        <w:rPr>
          <w:rFonts w:ascii="Times New Roman" w:hAnsi="Times New Roman"/>
          <w:sz w:val="24"/>
          <w:szCs w:val="24"/>
        </w:rPr>
      </w:pPr>
      <w:r>
        <w:rPr>
          <w:rFonts w:ascii="Times New Roman" w:hAnsi="Times New Roman"/>
          <w:sz w:val="24"/>
          <w:szCs w:val="24"/>
        </w:rPr>
        <w:t>- приобретение эмитента компанией с более высоким/низким кредитным качеством (более высоким/низким рейтингом);</w:t>
      </w:r>
    </w:p>
    <w:p w14:paraId="76894031" w14:textId="77777777" w:rsidR="000C1E0E" w:rsidRDefault="000C1E0E" w:rsidP="000C1E0E">
      <w:pPr>
        <w:pStyle w:val="afc"/>
        <w:spacing w:after="160" w:line="256" w:lineRule="auto"/>
        <w:jc w:val="both"/>
        <w:rPr>
          <w:rFonts w:ascii="Times New Roman" w:hAnsi="Times New Roman"/>
          <w:sz w:val="24"/>
          <w:szCs w:val="24"/>
        </w:rPr>
      </w:pPr>
      <w:r>
        <w:rPr>
          <w:rFonts w:ascii="Times New Roman" w:hAnsi="Times New Roman"/>
          <w:sz w:val="24"/>
          <w:szCs w:val="24"/>
        </w:rPr>
        <w:t>- включение эмитента в санкционный список;</w:t>
      </w:r>
    </w:p>
    <w:p w14:paraId="0A70954F" w14:textId="77777777" w:rsidR="000C1E0E" w:rsidRDefault="000C1E0E" w:rsidP="000C1E0E">
      <w:pPr>
        <w:pStyle w:val="afc"/>
        <w:spacing w:after="160" w:line="256" w:lineRule="auto"/>
        <w:jc w:val="both"/>
        <w:rPr>
          <w:rFonts w:ascii="Times New Roman" w:hAnsi="Times New Roman"/>
          <w:sz w:val="24"/>
          <w:szCs w:val="24"/>
        </w:rPr>
      </w:pPr>
      <w:r>
        <w:rPr>
          <w:rFonts w:ascii="Times New Roman" w:hAnsi="Times New Roman"/>
          <w:sz w:val="24"/>
          <w:szCs w:val="24"/>
        </w:rPr>
        <w:t>- серьезный корпоративный конфликт;</w:t>
      </w:r>
    </w:p>
    <w:p w14:paraId="1C1CB4C5" w14:textId="77777777" w:rsidR="000C1E0E" w:rsidRPr="00142075" w:rsidRDefault="000C1E0E" w:rsidP="000C1E0E">
      <w:pPr>
        <w:pStyle w:val="aff0"/>
      </w:pPr>
      <w:r>
        <w:rPr>
          <w:sz w:val="24"/>
          <w:szCs w:val="24"/>
        </w:rPr>
        <w:t>- значительные претензии контрагентов или государственных органов.</w:t>
      </w:r>
    </w:p>
    <w:p w14:paraId="51B94551" w14:textId="77777777" w:rsidR="00543EE4" w:rsidRPr="00142075" w:rsidRDefault="00543EE4" w:rsidP="00543EE4">
      <w:pPr>
        <w:pStyle w:val="aff0"/>
      </w:pPr>
    </w:p>
    <w:p w14:paraId="4BA5250B" w14:textId="77777777" w:rsidR="00543EE4" w:rsidRPr="00142075" w:rsidRDefault="00543EE4" w:rsidP="00543EE4"/>
    <w:p w14:paraId="76793F36" w14:textId="77777777" w:rsidR="00543EE4" w:rsidRPr="00142075" w:rsidRDefault="00543EE4" w:rsidP="00543EE4">
      <w:pPr>
        <w:spacing w:line="360" w:lineRule="auto"/>
        <w:ind w:firstLine="426"/>
        <w:jc w:val="left"/>
        <w:rPr>
          <w:rFonts w:ascii="Times New Roman" w:eastAsiaTheme="minorHAnsi" w:hAnsi="Times New Roman"/>
          <w:b/>
          <w:sz w:val="24"/>
          <w:szCs w:val="24"/>
          <w:lang w:eastAsia="en-US"/>
        </w:rPr>
      </w:pPr>
    </w:p>
    <w:p w14:paraId="564A83C8" w14:textId="77777777" w:rsidR="000462AC" w:rsidRPr="00142075" w:rsidRDefault="000462AC">
      <w:pPr>
        <w:spacing w:line="240" w:lineRule="auto"/>
        <w:jc w:val="left"/>
        <w:rPr>
          <w:rFonts w:ascii="Times New Roman" w:eastAsia="Calibri" w:hAnsi="Times New Roman"/>
          <w:sz w:val="24"/>
          <w:szCs w:val="24"/>
        </w:rPr>
      </w:pPr>
    </w:p>
    <w:sectPr w:rsidR="000462AC" w:rsidRPr="00142075" w:rsidSect="0072606A">
      <w:footerReference w:type="default" r:id="rId104"/>
      <w:pgSz w:w="11906" w:h="16838"/>
      <w:pgMar w:top="1134" w:right="851" w:bottom="1134" w:left="1701" w:header="709" w:footer="521"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9AECB1F" w14:textId="77777777" w:rsidR="00C375C8" w:rsidRDefault="00C375C8" w:rsidP="00685E5D">
      <w:pPr>
        <w:spacing w:line="240" w:lineRule="auto"/>
      </w:pPr>
      <w:r>
        <w:separator/>
      </w:r>
    </w:p>
  </w:endnote>
  <w:endnote w:type="continuationSeparator" w:id="0">
    <w:p w14:paraId="520F37E3" w14:textId="77777777" w:rsidR="00C375C8" w:rsidRDefault="00C375C8" w:rsidP="00685E5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altName w:val="Symbol"/>
    <w:panose1 w:val="05000000000000000000"/>
    <w:charset w:val="02"/>
    <w:family w:val="auto"/>
    <w:pitch w:val="variable"/>
    <w:sig w:usb0="00000000" w:usb1="10000000" w:usb2="00000000" w:usb3="00000000" w:csb0="80000000" w:csb1="00000000"/>
  </w:font>
  <w:font w:name="Times New Roman">
    <w:altName w:val="Times New Roman"/>
    <w:panose1 w:val="02020603050405020304"/>
    <w:charset w:val="CC"/>
    <w:family w:val="roman"/>
    <w:pitch w:val="variable"/>
    <w:sig w:usb0="E0002EFF" w:usb1="C000785B" w:usb2="00000009" w:usb3="00000000" w:csb0="000001FF" w:csb1="00000000"/>
  </w:font>
  <w:font w:name="Courier New">
    <w:altName w:val="Lucida Console"/>
    <w:panose1 w:val="02070309020205020404"/>
    <w:charset w:val="CC"/>
    <w:family w:val="modern"/>
    <w:pitch w:val="fixed"/>
    <w:sig w:usb0="E0002EFF" w:usb1="C0007843" w:usb2="00000009" w:usb3="00000000" w:csb0="000001FF" w:csb1="00000000"/>
  </w:font>
  <w:font w:name="Symbol">
    <w:altName w:val="Times New Roman"/>
    <w:panose1 w:val="05050102010706020507"/>
    <w:charset w:val="02"/>
    <w:family w:val="roman"/>
    <w:pitch w:val="variable"/>
    <w:sig w:usb0="00000000" w:usb1="10000000" w:usb2="00000000" w:usb3="00000000" w:csb0="80000000" w:csb1="00000000"/>
  </w:font>
  <w:font w:name="Times New Roman CYR">
    <w:altName w:val="Times New Roman"/>
    <w:panose1 w:val="02020603050405020304"/>
    <w:charset w:val="CC"/>
    <w:family w:val="roman"/>
    <w:pitch w:val="variable"/>
    <w:sig w:usb0="E0002EFF" w:usb1="C000785B" w:usb2="00000009" w:usb3="00000000" w:csb0="000001FF" w:csb1="00000000"/>
  </w:font>
  <w:font w:name="Cambria">
    <w:altName w:val="Palatino Linotype"/>
    <w:panose1 w:val="02040503050406030204"/>
    <w:charset w:val="CC"/>
    <w:family w:val="roman"/>
    <w:pitch w:val="variable"/>
    <w:sig w:usb0="E00006FF" w:usb1="420024FF" w:usb2="02000000" w:usb3="00000000" w:csb0="0000019F" w:csb1="00000000"/>
  </w:font>
  <w:font w:name="Arial">
    <w:altName w:val="Times New Roman"/>
    <w:panose1 w:val="020B0604020202020204"/>
    <w:charset w:val="CC"/>
    <w:family w:val="swiss"/>
    <w:pitch w:val="variable"/>
    <w:sig w:usb0="E0002EFF" w:usb1="C000785B" w:usb2="00000009" w:usb3="00000000" w:csb0="000001FF" w:csb1="00000000"/>
  </w:font>
  <w:font w:name="Verdana">
    <w:altName w:val=" Arial"/>
    <w:panose1 w:val="020B0604030504040204"/>
    <w:charset w:val="CC"/>
    <w:family w:val="swiss"/>
    <w:pitch w:val="variable"/>
    <w:sig w:usb0="A00006FF" w:usb1="4000205B" w:usb2="00000010" w:usb3="00000000" w:csb0="0000019F" w:csb1="00000000"/>
  </w:font>
  <w:font w:name="Tahoma">
    <w:altName w:val="Times New Roman"/>
    <w:panose1 w:val="020B0604030504040204"/>
    <w:charset w:val="CC"/>
    <w:family w:val="swiss"/>
    <w:pitch w:val="variable"/>
    <w:sig w:usb0="E1002EFF" w:usb1="C000605B" w:usb2="00000029" w:usb3="00000000" w:csb0="000101FF" w:csb1="00000000"/>
  </w:font>
  <w:font w:name="Calibri">
    <w:altName w:val="Century Gothic"/>
    <w:panose1 w:val="020F0502020204030204"/>
    <w:charset w:val="CC"/>
    <w:family w:val="swiss"/>
    <w:pitch w:val="variable"/>
    <w:sig w:usb0="E0002EFF" w:usb1="C000247B" w:usb2="00000009" w:usb3="00000000" w:csb0="000001FF" w:csb1="00000000"/>
  </w:font>
  <w:font w:name="Batang">
    <w:altName w:val="바탕"/>
    <w:panose1 w:val="02030600000101010101"/>
    <w:charset w:val="81"/>
    <w:family w:val="roman"/>
    <w:pitch w:val="variable"/>
    <w:sig w:usb0="B00002AF" w:usb1="69D77CFB" w:usb2="00000030" w:usb3="00000000" w:csb0="0008009F" w:csb1="00000000"/>
  </w:font>
  <w:font w:name="Cambria Math">
    <w:altName w:val="Palatino Linotype"/>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7B1C3AE" w14:textId="45BDF0BD" w:rsidR="00C375C8" w:rsidRPr="0072606A" w:rsidRDefault="00C375C8" w:rsidP="0090527C">
    <w:pPr>
      <w:pStyle w:val="ac"/>
      <w:tabs>
        <w:tab w:val="clear" w:pos="9355"/>
        <w:tab w:val="left" w:pos="2742"/>
        <w:tab w:val="right" w:pos="9354"/>
      </w:tabs>
      <w:jc w:val="left"/>
      <w:rPr>
        <w:sz w:val="20"/>
      </w:rPr>
    </w:pPr>
    <w:r>
      <w:rPr>
        <w:sz w:val="20"/>
      </w:rPr>
      <w:tab/>
    </w:r>
    <w:r>
      <w:rPr>
        <w:sz w:val="20"/>
      </w:rPr>
      <w:tab/>
    </w:r>
    <w:r>
      <w:rPr>
        <w:sz w:val="20"/>
      </w:rPr>
      <w:tab/>
    </w:r>
    <w:r w:rsidRPr="0072606A">
      <w:rPr>
        <w:sz w:val="20"/>
      </w:rPr>
      <w:fldChar w:fldCharType="begin"/>
    </w:r>
    <w:r w:rsidRPr="0072606A">
      <w:rPr>
        <w:sz w:val="20"/>
      </w:rPr>
      <w:instrText>PAGE   \* MERGEFORMAT</w:instrText>
    </w:r>
    <w:r w:rsidRPr="0072606A">
      <w:rPr>
        <w:sz w:val="20"/>
      </w:rPr>
      <w:fldChar w:fldCharType="separate"/>
    </w:r>
    <w:r w:rsidR="00C74876">
      <w:rPr>
        <w:noProof/>
        <w:sz w:val="20"/>
      </w:rPr>
      <w:t>8</w:t>
    </w:r>
    <w:r w:rsidRPr="0072606A">
      <w:rPr>
        <w:sz w:val="20"/>
      </w:rPr>
      <w:fldChar w:fldCharType="end"/>
    </w:r>
  </w:p>
  <w:p w14:paraId="79ACDA60" w14:textId="77777777" w:rsidR="00C375C8" w:rsidRDefault="00C375C8">
    <w:pPr>
      <w:pStyle w:val="ac"/>
    </w:pPr>
  </w:p>
  <w:p w14:paraId="774291ED" w14:textId="77777777" w:rsidR="00C375C8" w:rsidRDefault="00C375C8"/>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9E8D830" w14:textId="77777777" w:rsidR="00C375C8" w:rsidRDefault="00C375C8" w:rsidP="00685E5D">
      <w:pPr>
        <w:spacing w:line="240" w:lineRule="auto"/>
      </w:pPr>
      <w:r>
        <w:separator/>
      </w:r>
    </w:p>
  </w:footnote>
  <w:footnote w:type="continuationSeparator" w:id="0">
    <w:p w14:paraId="3AB6C3C3" w14:textId="77777777" w:rsidR="00C375C8" w:rsidRDefault="00C375C8" w:rsidP="00685E5D">
      <w:pPr>
        <w:spacing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10"/>
    <w:multiLevelType w:val="multilevel"/>
    <w:tmpl w:val="00000010"/>
    <w:name w:val="WWNum30"/>
    <w:lvl w:ilvl="0">
      <w:start w:val="1"/>
      <w:numFmt w:val="bullet"/>
      <w:lvlText w:val=""/>
      <w:lvlJc w:val="left"/>
      <w:pPr>
        <w:tabs>
          <w:tab w:val="num" w:pos="0"/>
        </w:tabs>
        <w:ind w:left="1440" w:hanging="360"/>
      </w:pPr>
      <w:rPr>
        <w:rFonts w:ascii="Wingdings" w:hAnsi="Wingdings"/>
      </w:rPr>
    </w:lvl>
    <w:lvl w:ilvl="1">
      <w:start w:val="1"/>
      <w:numFmt w:val="bullet"/>
      <w:lvlText w:val="o"/>
      <w:lvlJc w:val="left"/>
      <w:pPr>
        <w:tabs>
          <w:tab w:val="num" w:pos="0"/>
        </w:tabs>
        <w:ind w:left="2160" w:hanging="360"/>
      </w:pPr>
      <w:rPr>
        <w:rFonts w:ascii="Courier New" w:hAnsi="Courier New" w:cs="Courier New"/>
      </w:rPr>
    </w:lvl>
    <w:lvl w:ilvl="2">
      <w:start w:val="1"/>
      <w:numFmt w:val="bullet"/>
      <w:lvlText w:val=""/>
      <w:lvlJc w:val="left"/>
      <w:pPr>
        <w:tabs>
          <w:tab w:val="num" w:pos="0"/>
        </w:tabs>
        <w:ind w:left="2880" w:hanging="360"/>
      </w:pPr>
      <w:rPr>
        <w:rFonts w:ascii="Wingdings" w:hAnsi="Wingdings"/>
      </w:rPr>
    </w:lvl>
    <w:lvl w:ilvl="3">
      <w:start w:val="1"/>
      <w:numFmt w:val="bullet"/>
      <w:lvlText w:val=""/>
      <w:lvlJc w:val="left"/>
      <w:pPr>
        <w:tabs>
          <w:tab w:val="num" w:pos="0"/>
        </w:tabs>
        <w:ind w:left="3600" w:hanging="360"/>
      </w:pPr>
      <w:rPr>
        <w:rFonts w:ascii="Symbol" w:hAnsi="Symbol"/>
      </w:rPr>
    </w:lvl>
    <w:lvl w:ilvl="4">
      <w:start w:val="1"/>
      <w:numFmt w:val="bullet"/>
      <w:lvlText w:val="o"/>
      <w:lvlJc w:val="left"/>
      <w:pPr>
        <w:tabs>
          <w:tab w:val="num" w:pos="0"/>
        </w:tabs>
        <w:ind w:left="4320" w:hanging="360"/>
      </w:pPr>
      <w:rPr>
        <w:rFonts w:ascii="Courier New" w:hAnsi="Courier New" w:cs="Courier New"/>
      </w:rPr>
    </w:lvl>
    <w:lvl w:ilvl="5">
      <w:start w:val="1"/>
      <w:numFmt w:val="bullet"/>
      <w:lvlText w:val=""/>
      <w:lvlJc w:val="left"/>
      <w:pPr>
        <w:tabs>
          <w:tab w:val="num" w:pos="0"/>
        </w:tabs>
        <w:ind w:left="5040" w:hanging="360"/>
      </w:pPr>
      <w:rPr>
        <w:rFonts w:ascii="Wingdings" w:hAnsi="Wingdings"/>
      </w:rPr>
    </w:lvl>
    <w:lvl w:ilvl="6">
      <w:start w:val="1"/>
      <w:numFmt w:val="bullet"/>
      <w:lvlText w:val=""/>
      <w:lvlJc w:val="left"/>
      <w:pPr>
        <w:tabs>
          <w:tab w:val="num" w:pos="0"/>
        </w:tabs>
        <w:ind w:left="5760" w:hanging="360"/>
      </w:pPr>
      <w:rPr>
        <w:rFonts w:ascii="Symbol" w:hAnsi="Symbol"/>
      </w:rPr>
    </w:lvl>
    <w:lvl w:ilvl="7">
      <w:start w:val="1"/>
      <w:numFmt w:val="bullet"/>
      <w:lvlText w:val="o"/>
      <w:lvlJc w:val="left"/>
      <w:pPr>
        <w:tabs>
          <w:tab w:val="num" w:pos="0"/>
        </w:tabs>
        <w:ind w:left="6480" w:hanging="360"/>
      </w:pPr>
      <w:rPr>
        <w:rFonts w:ascii="Courier New" w:hAnsi="Courier New" w:cs="Courier New"/>
      </w:rPr>
    </w:lvl>
    <w:lvl w:ilvl="8">
      <w:start w:val="1"/>
      <w:numFmt w:val="bullet"/>
      <w:lvlText w:val=""/>
      <w:lvlJc w:val="left"/>
      <w:pPr>
        <w:tabs>
          <w:tab w:val="num" w:pos="0"/>
        </w:tabs>
        <w:ind w:left="7200" w:hanging="360"/>
      </w:pPr>
      <w:rPr>
        <w:rFonts w:ascii="Wingdings" w:hAnsi="Wingdings"/>
      </w:rPr>
    </w:lvl>
  </w:abstractNum>
  <w:abstractNum w:abstractNumId="1" w15:restartNumberingAfterBreak="0">
    <w:nsid w:val="00000011"/>
    <w:multiLevelType w:val="multilevel"/>
    <w:tmpl w:val="00000011"/>
    <w:name w:val="WWNum31"/>
    <w:lvl w:ilvl="0">
      <w:start w:val="1"/>
      <w:numFmt w:val="bullet"/>
      <w:lvlText w:val=""/>
      <w:lvlJc w:val="left"/>
      <w:pPr>
        <w:tabs>
          <w:tab w:val="num" w:pos="0"/>
        </w:tabs>
        <w:ind w:left="720" w:hanging="360"/>
      </w:pPr>
      <w:rPr>
        <w:rFonts w:ascii="Symbol" w:hAnsi="Symbol"/>
      </w:rPr>
    </w:lvl>
    <w:lvl w:ilvl="1">
      <w:start w:val="1"/>
      <w:numFmt w:val="bullet"/>
      <w:lvlText w:val="o"/>
      <w:lvlJc w:val="left"/>
      <w:pPr>
        <w:tabs>
          <w:tab w:val="num" w:pos="0"/>
        </w:tabs>
        <w:ind w:left="1440" w:hanging="360"/>
      </w:pPr>
      <w:rPr>
        <w:rFonts w:ascii="Courier New" w:hAnsi="Courier New" w:cs="Courier New"/>
      </w:rPr>
    </w:lvl>
    <w:lvl w:ilvl="2">
      <w:start w:val="1"/>
      <w:numFmt w:val="bullet"/>
      <w:lvlText w:val=""/>
      <w:lvlJc w:val="left"/>
      <w:pPr>
        <w:tabs>
          <w:tab w:val="num" w:pos="0"/>
        </w:tabs>
        <w:ind w:left="2160" w:hanging="360"/>
      </w:pPr>
      <w:rPr>
        <w:rFonts w:ascii="Wingdings" w:hAnsi="Wingdings"/>
      </w:rPr>
    </w:lvl>
    <w:lvl w:ilvl="3">
      <w:start w:val="1"/>
      <w:numFmt w:val="bullet"/>
      <w:lvlText w:val=""/>
      <w:lvlJc w:val="left"/>
      <w:pPr>
        <w:tabs>
          <w:tab w:val="num" w:pos="0"/>
        </w:tabs>
        <w:ind w:left="2880" w:hanging="360"/>
      </w:pPr>
      <w:rPr>
        <w:rFonts w:ascii="Symbol" w:hAnsi="Symbol"/>
      </w:rPr>
    </w:lvl>
    <w:lvl w:ilvl="4">
      <w:start w:val="1"/>
      <w:numFmt w:val="bullet"/>
      <w:lvlText w:val="o"/>
      <w:lvlJc w:val="left"/>
      <w:pPr>
        <w:tabs>
          <w:tab w:val="num" w:pos="0"/>
        </w:tabs>
        <w:ind w:left="3600" w:hanging="360"/>
      </w:pPr>
      <w:rPr>
        <w:rFonts w:ascii="Courier New" w:hAnsi="Courier New" w:cs="Courier New"/>
      </w:rPr>
    </w:lvl>
    <w:lvl w:ilvl="5">
      <w:start w:val="1"/>
      <w:numFmt w:val="bullet"/>
      <w:lvlText w:val=""/>
      <w:lvlJc w:val="left"/>
      <w:pPr>
        <w:tabs>
          <w:tab w:val="num" w:pos="0"/>
        </w:tabs>
        <w:ind w:left="4320" w:hanging="360"/>
      </w:pPr>
      <w:rPr>
        <w:rFonts w:ascii="Wingdings" w:hAnsi="Wingdings"/>
      </w:rPr>
    </w:lvl>
    <w:lvl w:ilvl="6">
      <w:start w:val="1"/>
      <w:numFmt w:val="bullet"/>
      <w:lvlText w:val=""/>
      <w:lvlJc w:val="left"/>
      <w:pPr>
        <w:tabs>
          <w:tab w:val="num" w:pos="0"/>
        </w:tabs>
        <w:ind w:left="5040" w:hanging="360"/>
      </w:pPr>
      <w:rPr>
        <w:rFonts w:ascii="Symbol" w:hAnsi="Symbol"/>
      </w:rPr>
    </w:lvl>
    <w:lvl w:ilvl="7">
      <w:start w:val="1"/>
      <w:numFmt w:val="bullet"/>
      <w:lvlText w:val="o"/>
      <w:lvlJc w:val="left"/>
      <w:pPr>
        <w:tabs>
          <w:tab w:val="num" w:pos="0"/>
        </w:tabs>
        <w:ind w:left="5760" w:hanging="360"/>
      </w:pPr>
      <w:rPr>
        <w:rFonts w:ascii="Courier New" w:hAnsi="Courier New" w:cs="Courier New"/>
      </w:rPr>
    </w:lvl>
    <w:lvl w:ilvl="8">
      <w:start w:val="1"/>
      <w:numFmt w:val="bullet"/>
      <w:lvlText w:val=""/>
      <w:lvlJc w:val="left"/>
      <w:pPr>
        <w:tabs>
          <w:tab w:val="num" w:pos="0"/>
        </w:tabs>
        <w:ind w:left="6480" w:hanging="360"/>
      </w:pPr>
      <w:rPr>
        <w:rFonts w:ascii="Wingdings" w:hAnsi="Wingdings"/>
      </w:rPr>
    </w:lvl>
  </w:abstractNum>
  <w:abstractNum w:abstractNumId="2" w15:restartNumberingAfterBreak="0">
    <w:nsid w:val="0A8A1059"/>
    <w:multiLevelType w:val="hybridMultilevel"/>
    <w:tmpl w:val="B2026AA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15:restartNumberingAfterBreak="0">
    <w:nsid w:val="139B5EEC"/>
    <w:multiLevelType w:val="hybridMultilevel"/>
    <w:tmpl w:val="2DEAF002"/>
    <w:lvl w:ilvl="0" w:tplc="9B76A660">
      <w:start w:val="1"/>
      <w:numFmt w:val="decimal"/>
      <w:lvlText w:val="%1."/>
      <w:lvlJc w:val="left"/>
      <w:pPr>
        <w:ind w:left="786" w:hanging="360"/>
      </w:pPr>
      <w:rPr>
        <w:rFonts w:hint="default"/>
      </w:rPr>
    </w:lvl>
    <w:lvl w:ilvl="1" w:tplc="04190019" w:tentative="1">
      <w:start w:val="1"/>
      <w:numFmt w:val="lowerLetter"/>
      <w:lvlText w:val="%2."/>
      <w:lvlJc w:val="left"/>
      <w:pPr>
        <w:ind w:left="1506" w:hanging="360"/>
      </w:pPr>
    </w:lvl>
    <w:lvl w:ilvl="2" w:tplc="0419001B" w:tentative="1">
      <w:start w:val="1"/>
      <w:numFmt w:val="lowerRoman"/>
      <w:lvlText w:val="%3."/>
      <w:lvlJc w:val="right"/>
      <w:pPr>
        <w:ind w:left="2226" w:hanging="180"/>
      </w:pPr>
    </w:lvl>
    <w:lvl w:ilvl="3" w:tplc="0419000F" w:tentative="1">
      <w:start w:val="1"/>
      <w:numFmt w:val="decimal"/>
      <w:lvlText w:val="%4."/>
      <w:lvlJc w:val="left"/>
      <w:pPr>
        <w:ind w:left="2946" w:hanging="360"/>
      </w:pPr>
    </w:lvl>
    <w:lvl w:ilvl="4" w:tplc="04190019" w:tentative="1">
      <w:start w:val="1"/>
      <w:numFmt w:val="lowerLetter"/>
      <w:lvlText w:val="%5."/>
      <w:lvlJc w:val="left"/>
      <w:pPr>
        <w:ind w:left="3666" w:hanging="360"/>
      </w:pPr>
    </w:lvl>
    <w:lvl w:ilvl="5" w:tplc="0419001B" w:tentative="1">
      <w:start w:val="1"/>
      <w:numFmt w:val="lowerRoman"/>
      <w:lvlText w:val="%6."/>
      <w:lvlJc w:val="right"/>
      <w:pPr>
        <w:ind w:left="4386" w:hanging="180"/>
      </w:pPr>
    </w:lvl>
    <w:lvl w:ilvl="6" w:tplc="0419000F" w:tentative="1">
      <w:start w:val="1"/>
      <w:numFmt w:val="decimal"/>
      <w:lvlText w:val="%7."/>
      <w:lvlJc w:val="left"/>
      <w:pPr>
        <w:ind w:left="5106" w:hanging="360"/>
      </w:pPr>
    </w:lvl>
    <w:lvl w:ilvl="7" w:tplc="04190019" w:tentative="1">
      <w:start w:val="1"/>
      <w:numFmt w:val="lowerLetter"/>
      <w:lvlText w:val="%8."/>
      <w:lvlJc w:val="left"/>
      <w:pPr>
        <w:ind w:left="5826" w:hanging="360"/>
      </w:pPr>
    </w:lvl>
    <w:lvl w:ilvl="8" w:tplc="0419001B" w:tentative="1">
      <w:start w:val="1"/>
      <w:numFmt w:val="lowerRoman"/>
      <w:lvlText w:val="%9."/>
      <w:lvlJc w:val="right"/>
      <w:pPr>
        <w:ind w:left="6546" w:hanging="180"/>
      </w:pPr>
    </w:lvl>
  </w:abstractNum>
  <w:abstractNum w:abstractNumId="4" w15:restartNumberingAfterBreak="0">
    <w:nsid w:val="14286BDE"/>
    <w:multiLevelType w:val="hybridMultilevel"/>
    <w:tmpl w:val="1CFAF59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15:restartNumberingAfterBreak="0">
    <w:nsid w:val="18AF2781"/>
    <w:multiLevelType w:val="hybridMultilevel"/>
    <w:tmpl w:val="5D363D90"/>
    <w:lvl w:ilvl="0" w:tplc="04190001">
      <w:start w:val="1"/>
      <w:numFmt w:val="bullet"/>
      <w:lvlText w:val=""/>
      <w:lvlJc w:val="left"/>
      <w:pPr>
        <w:ind w:left="1429" w:hanging="360"/>
      </w:pPr>
      <w:rPr>
        <w:rFonts w:ascii="Symbol" w:hAnsi="Symbol" w:hint="default"/>
      </w:rPr>
    </w:lvl>
    <w:lvl w:ilvl="1" w:tplc="04190003">
      <w:start w:val="1"/>
      <w:numFmt w:val="bullet"/>
      <w:lvlText w:val="o"/>
      <w:lvlJc w:val="left"/>
      <w:pPr>
        <w:ind w:left="2149" w:hanging="360"/>
      </w:pPr>
      <w:rPr>
        <w:rFonts w:ascii="Courier New" w:hAnsi="Courier New" w:hint="default"/>
      </w:rPr>
    </w:lvl>
    <w:lvl w:ilvl="2" w:tplc="04190005">
      <w:start w:val="1"/>
      <w:numFmt w:val="bullet"/>
      <w:lvlText w:val=""/>
      <w:lvlJc w:val="left"/>
      <w:pPr>
        <w:ind w:left="2869" w:hanging="360"/>
      </w:pPr>
      <w:rPr>
        <w:rFonts w:ascii="Wingdings" w:hAnsi="Wingdings" w:hint="default"/>
      </w:rPr>
    </w:lvl>
    <w:lvl w:ilvl="3" w:tplc="04190001">
      <w:start w:val="1"/>
      <w:numFmt w:val="bullet"/>
      <w:lvlText w:val=""/>
      <w:lvlJc w:val="left"/>
      <w:pPr>
        <w:ind w:left="3589" w:hanging="360"/>
      </w:pPr>
      <w:rPr>
        <w:rFonts w:ascii="Symbol" w:hAnsi="Symbol" w:hint="default"/>
      </w:rPr>
    </w:lvl>
    <w:lvl w:ilvl="4" w:tplc="04190003">
      <w:start w:val="1"/>
      <w:numFmt w:val="bullet"/>
      <w:lvlText w:val="o"/>
      <w:lvlJc w:val="left"/>
      <w:pPr>
        <w:ind w:left="4309" w:hanging="360"/>
      </w:pPr>
      <w:rPr>
        <w:rFonts w:ascii="Courier New" w:hAnsi="Courier New" w:hint="default"/>
      </w:rPr>
    </w:lvl>
    <w:lvl w:ilvl="5" w:tplc="04190005">
      <w:start w:val="1"/>
      <w:numFmt w:val="bullet"/>
      <w:lvlText w:val=""/>
      <w:lvlJc w:val="left"/>
      <w:pPr>
        <w:ind w:left="5029" w:hanging="360"/>
      </w:pPr>
      <w:rPr>
        <w:rFonts w:ascii="Wingdings" w:hAnsi="Wingdings" w:hint="default"/>
      </w:rPr>
    </w:lvl>
    <w:lvl w:ilvl="6" w:tplc="04190001">
      <w:start w:val="1"/>
      <w:numFmt w:val="bullet"/>
      <w:lvlText w:val=""/>
      <w:lvlJc w:val="left"/>
      <w:pPr>
        <w:ind w:left="5749" w:hanging="360"/>
      </w:pPr>
      <w:rPr>
        <w:rFonts w:ascii="Symbol" w:hAnsi="Symbol" w:hint="default"/>
      </w:rPr>
    </w:lvl>
    <w:lvl w:ilvl="7" w:tplc="04190003">
      <w:start w:val="1"/>
      <w:numFmt w:val="bullet"/>
      <w:lvlText w:val="o"/>
      <w:lvlJc w:val="left"/>
      <w:pPr>
        <w:ind w:left="6469" w:hanging="360"/>
      </w:pPr>
      <w:rPr>
        <w:rFonts w:ascii="Courier New" w:hAnsi="Courier New" w:hint="default"/>
      </w:rPr>
    </w:lvl>
    <w:lvl w:ilvl="8" w:tplc="04190005">
      <w:start w:val="1"/>
      <w:numFmt w:val="bullet"/>
      <w:lvlText w:val=""/>
      <w:lvlJc w:val="left"/>
      <w:pPr>
        <w:ind w:left="7189" w:hanging="360"/>
      </w:pPr>
      <w:rPr>
        <w:rFonts w:ascii="Wingdings" w:hAnsi="Wingdings" w:hint="default"/>
      </w:rPr>
    </w:lvl>
  </w:abstractNum>
  <w:abstractNum w:abstractNumId="6" w15:restartNumberingAfterBreak="0">
    <w:nsid w:val="21695FBD"/>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 w15:restartNumberingAfterBreak="0">
    <w:nsid w:val="21822B22"/>
    <w:multiLevelType w:val="multilevel"/>
    <w:tmpl w:val="777088F4"/>
    <w:lvl w:ilvl="0">
      <w:start w:val="1"/>
      <w:numFmt w:val="decimal"/>
      <w:lvlText w:val="%1."/>
      <w:lvlJc w:val="left"/>
      <w:pPr>
        <w:tabs>
          <w:tab w:val="num" w:pos="480"/>
        </w:tabs>
        <w:ind w:left="480" w:hanging="480"/>
      </w:pPr>
      <w:rPr>
        <w:rFonts w:cs="Times New Roman" w:hint="default"/>
        <w:color w:val="auto"/>
      </w:rPr>
    </w:lvl>
    <w:lvl w:ilvl="1">
      <w:start w:val="1"/>
      <w:numFmt w:val="decimal"/>
      <w:lvlText w:val="%1.%2."/>
      <w:lvlJc w:val="left"/>
      <w:pPr>
        <w:tabs>
          <w:tab w:val="num" w:pos="720"/>
        </w:tabs>
        <w:ind w:left="720" w:hanging="720"/>
      </w:pPr>
      <w:rPr>
        <w:rFonts w:cs="Times New Roman" w:hint="default"/>
        <w:b w:val="0"/>
        <w:color w:val="auto"/>
        <w:sz w:val="20"/>
        <w:szCs w:val="20"/>
      </w:rPr>
    </w:lvl>
    <w:lvl w:ilvl="2">
      <w:start w:val="1"/>
      <w:numFmt w:val="decimal"/>
      <w:lvlText w:val="%1.%2.%3."/>
      <w:lvlJc w:val="left"/>
      <w:pPr>
        <w:tabs>
          <w:tab w:val="num" w:pos="720"/>
        </w:tabs>
        <w:ind w:left="720" w:hanging="720"/>
      </w:pPr>
      <w:rPr>
        <w:rFonts w:cs="Times New Roman" w:hint="default"/>
        <w:b w:val="0"/>
        <w:color w:val="auto"/>
        <w:sz w:val="20"/>
        <w:szCs w:val="20"/>
      </w:rPr>
    </w:lvl>
    <w:lvl w:ilvl="3">
      <w:start w:val="1"/>
      <w:numFmt w:val="decimal"/>
      <w:lvlText w:val="%1.%2.%3.%4."/>
      <w:lvlJc w:val="left"/>
      <w:pPr>
        <w:tabs>
          <w:tab w:val="num" w:pos="1080"/>
        </w:tabs>
        <w:ind w:left="1080" w:hanging="1080"/>
      </w:pPr>
      <w:rPr>
        <w:rFonts w:cs="Times New Roman" w:hint="default"/>
        <w:color w:val="auto"/>
      </w:rPr>
    </w:lvl>
    <w:lvl w:ilvl="4">
      <w:start w:val="1"/>
      <w:numFmt w:val="decimal"/>
      <w:lvlText w:val="%1.%2.%3.%4.%5."/>
      <w:lvlJc w:val="left"/>
      <w:pPr>
        <w:tabs>
          <w:tab w:val="num" w:pos="1440"/>
        </w:tabs>
        <w:ind w:left="1440" w:hanging="1440"/>
      </w:pPr>
      <w:rPr>
        <w:rFonts w:cs="Times New Roman" w:hint="default"/>
        <w:color w:val="auto"/>
      </w:rPr>
    </w:lvl>
    <w:lvl w:ilvl="5">
      <w:start w:val="1"/>
      <w:numFmt w:val="decimal"/>
      <w:lvlText w:val="%1.%2.%3.%4.%5.%6."/>
      <w:lvlJc w:val="left"/>
      <w:pPr>
        <w:tabs>
          <w:tab w:val="num" w:pos="1440"/>
        </w:tabs>
        <w:ind w:left="1440" w:hanging="1440"/>
      </w:pPr>
      <w:rPr>
        <w:rFonts w:cs="Times New Roman" w:hint="default"/>
        <w:color w:val="auto"/>
      </w:rPr>
    </w:lvl>
    <w:lvl w:ilvl="6">
      <w:start w:val="1"/>
      <w:numFmt w:val="decimal"/>
      <w:lvlText w:val="%1.%2.%3.%4.%5.%6.%7."/>
      <w:lvlJc w:val="left"/>
      <w:pPr>
        <w:tabs>
          <w:tab w:val="num" w:pos="1800"/>
        </w:tabs>
        <w:ind w:left="1800" w:hanging="1800"/>
      </w:pPr>
      <w:rPr>
        <w:rFonts w:cs="Times New Roman" w:hint="default"/>
        <w:color w:val="auto"/>
      </w:rPr>
    </w:lvl>
    <w:lvl w:ilvl="7">
      <w:start w:val="1"/>
      <w:numFmt w:val="decimal"/>
      <w:lvlText w:val="%1.%2.%3.%4.%5.%6.%7.%8."/>
      <w:lvlJc w:val="left"/>
      <w:pPr>
        <w:tabs>
          <w:tab w:val="num" w:pos="2160"/>
        </w:tabs>
        <w:ind w:left="2160" w:hanging="2160"/>
      </w:pPr>
      <w:rPr>
        <w:rFonts w:cs="Times New Roman" w:hint="default"/>
        <w:color w:val="auto"/>
      </w:rPr>
    </w:lvl>
    <w:lvl w:ilvl="8">
      <w:start w:val="1"/>
      <w:numFmt w:val="decimal"/>
      <w:lvlText w:val="%1.%2.%3.%4.%5.%6.%7.%8.%9."/>
      <w:lvlJc w:val="left"/>
      <w:pPr>
        <w:tabs>
          <w:tab w:val="num" w:pos="2160"/>
        </w:tabs>
        <w:ind w:left="2160" w:hanging="2160"/>
      </w:pPr>
      <w:rPr>
        <w:rFonts w:cs="Times New Roman" w:hint="default"/>
        <w:color w:val="auto"/>
      </w:rPr>
    </w:lvl>
  </w:abstractNum>
  <w:abstractNum w:abstractNumId="8" w15:restartNumberingAfterBreak="0">
    <w:nsid w:val="317D5642"/>
    <w:multiLevelType w:val="hybridMultilevel"/>
    <w:tmpl w:val="75BC4B0E"/>
    <w:lvl w:ilvl="0" w:tplc="FE9A2052">
      <w:start w:val="1"/>
      <w:numFmt w:val="lowerLetter"/>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9" w15:restartNumberingAfterBreak="0">
    <w:nsid w:val="3B16692E"/>
    <w:multiLevelType w:val="multilevel"/>
    <w:tmpl w:val="80803ABE"/>
    <w:lvl w:ilvl="0">
      <w:start w:val="4"/>
      <w:numFmt w:val="decimal"/>
      <w:lvlText w:val="%1."/>
      <w:lvlJc w:val="left"/>
      <w:pPr>
        <w:tabs>
          <w:tab w:val="num" w:pos="720"/>
        </w:tabs>
        <w:ind w:left="720" w:hanging="720"/>
      </w:pPr>
      <w:rPr>
        <w:rFonts w:cs="Times New Roman" w:hint="default"/>
      </w:rPr>
    </w:lvl>
    <w:lvl w:ilvl="1">
      <w:start w:val="1"/>
      <w:numFmt w:val="decimal"/>
      <w:lvlText w:val="%1.%2."/>
      <w:lvlJc w:val="left"/>
      <w:pPr>
        <w:tabs>
          <w:tab w:val="num" w:pos="720"/>
        </w:tabs>
        <w:ind w:left="720" w:hanging="720"/>
      </w:pPr>
      <w:rPr>
        <w:rFonts w:cs="Times New Roman" w:hint="default"/>
        <w:b w:val="0"/>
        <w:sz w:val="20"/>
        <w:szCs w:val="20"/>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1080"/>
        </w:tabs>
        <w:ind w:left="1080" w:hanging="1080"/>
      </w:pPr>
      <w:rPr>
        <w:rFonts w:cs="Times New Roman" w:hint="default"/>
      </w:rPr>
    </w:lvl>
    <w:lvl w:ilvl="4">
      <w:start w:val="1"/>
      <w:numFmt w:val="decimal"/>
      <w:lvlText w:val="%1.%2.%3.%4.%5."/>
      <w:lvlJc w:val="left"/>
      <w:pPr>
        <w:tabs>
          <w:tab w:val="num" w:pos="1440"/>
        </w:tabs>
        <w:ind w:left="1440" w:hanging="1440"/>
      </w:pPr>
      <w:rPr>
        <w:rFonts w:cs="Times New Roman" w:hint="default"/>
      </w:rPr>
    </w:lvl>
    <w:lvl w:ilvl="5">
      <w:start w:val="1"/>
      <w:numFmt w:val="decimal"/>
      <w:lvlText w:val="%1.%2.%3.%4.%5.%6."/>
      <w:lvlJc w:val="left"/>
      <w:pPr>
        <w:tabs>
          <w:tab w:val="num" w:pos="1440"/>
        </w:tabs>
        <w:ind w:left="1440" w:hanging="1440"/>
      </w:pPr>
      <w:rPr>
        <w:rFonts w:cs="Times New Roman" w:hint="default"/>
      </w:rPr>
    </w:lvl>
    <w:lvl w:ilvl="6">
      <w:start w:val="1"/>
      <w:numFmt w:val="decimal"/>
      <w:lvlText w:val="%1.%2.%3.%4.%5.%6.%7."/>
      <w:lvlJc w:val="left"/>
      <w:pPr>
        <w:tabs>
          <w:tab w:val="num" w:pos="1800"/>
        </w:tabs>
        <w:ind w:left="1800" w:hanging="1800"/>
      </w:pPr>
      <w:rPr>
        <w:rFonts w:cs="Times New Roman" w:hint="default"/>
      </w:rPr>
    </w:lvl>
    <w:lvl w:ilvl="7">
      <w:start w:val="1"/>
      <w:numFmt w:val="decimal"/>
      <w:lvlText w:val="%1.%2.%3.%4.%5.%6.%7.%8."/>
      <w:lvlJc w:val="left"/>
      <w:pPr>
        <w:tabs>
          <w:tab w:val="num" w:pos="2160"/>
        </w:tabs>
        <w:ind w:left="2160" w:hanging="2160"/>
      </w:pPr>
      <w:rPr>
        <w:rFonts w:cs="Times New Roman" w:hint="default"/>
      </w:rPr>
    </w:lvl>
    <w:lvl w:ilvl="8">
      <w:start w:val="1"/>
      <w:numFmt w:val="decimal"/>
      <w:lvlText w:val="%1.%2.%3.%4.%5.%6.%7.%8.%9."/>
      <w:lvlJc w:val="left"/>
      <w:pPr>
        <w:tabs>
          <w:tab w:val="num" w:pos="2160"/>
        </w:tabs>
        <w:ind w:left="2160" w:hanging="2160"/>
      </w:pPr>
      <w:rPr>
        <w:rFonts w:cs="Times New Roman" w:hint="default"/>
      </w:rPr>
    </w:lvl>
  </w:abstractNum>
  <w:abstractNum w:abstractNumId="10" w15:restartNumberingAfterBreak="0">
    <w:nsid w:val="43473A97"/>
    <w:multiLevelType w:val="hybridMultilevel"/>
    <w:tmpl w:val="FD6CE62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15:restartNumberingAfterBreak="0">
    <w:nsid w:val="57E7753D"/>
    <w:multiLevelType w:val="multilevel"/>
    <w:tmpl w:val="E932D372"/>
    <w:lvl w:ilvl="0">
      <w:start w:val="1"/>
      <w:numFmt w:val="upperRoman"/>
      <w:pStyle w:val="a"/>
      <w:lvlText w:val="%1."/>
      <w:lvlJc w:val="left"/>
      <w:pPr>
        <w:ind w:left="502" w:hanging="360"/>
      </w:pPr>
      <w:rPr>
        <w:rFonts w:hint="default"/>
      </w:rPr>
    </w:lvl>
    <w:lvl w:ilvl="1">
      <w:start w:val="1"/>
      <w:numFmt w:val="decimal"/>
      <w:pStyle w:val="1"/>
      <w:lvlText w:val="%2."/>
      <w:lvlJc w:val="left"/>
      <w:pPr>
        <w:ind w:left="964" w:hanging="680"/>
      </w:pPr>
      <w:rPr>
        <w:rFonts w:hint="default"/>
      </w:rPr>
    </w:lvl>
    <w:lvl w:ilvl="2">
      <w:start w:val="1"/>
      <w:numFmt w:val="decimal"/>
      <w:pStyle w:val="2"/>
      <w:lvlText w:val="%2.%3."/>
      <w:lvlJc w:val="left"/>
      <w:pPr>
        <w:ind w:left="1214" w:hanging="504"/>
      </w:pPr>
      <w:rPr>
        <w:rFonts w:hint="default"/>
      </w:rPr>
    </w:lvl>
    <w:lvl w:ilvl="3">
      <w:start w:val="1"/>
      <w:numFmt w:val="decimal"/>
      <w:pStyle w:val="3"/>
      <w:lvlText w:val="%2.%3.%4."/>
      <w:lvlJc w:val="left"/>
      <w:pPr>
        <w:ind w:left="2323" w:hanging="621"/>
      </w:pPr>
      <w:rPr>
        <w:rFonts w:hint="default"/>
      </w:rPr>
    </w:lvl>
    <w:lvl w:ilvl="4">
      <w:start w:val="1"/>
      <w:numFmt w:val="lowerLetter"/>
      <w:pStyle w:val="4"/>
      <w:lvlText w:val="(%5)"/>
      <w:lvlJc w:val="left"/>
      <w:pPr>
        <w:ind w:left="829" w:hanging="545"/>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58DF2612"/>
    <w:multiLevelType w:val="hybridMultilevel"/>
    <w:tmpl w:val="5E08AD6C"/>
    <w:lvl w:ilvl="0" w:tplc="1226BDEA">
      <w:start w:val="1"/>
      <w:numFmt w:val="lowerLetter"/>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3" w15:restartNumberingAfterBreak="0">
    <w:nsid w:val="5B3F430E"/>
    <w:multiLevelType w:val="hybridMultilevel"/>
    <w:tmpl w:val="5756EA64"/>
    <w:lvl w:ilvl="0" w:tplc="509608D0">
      <w:start w:val="2"/>
      <w:numFmt w:val="bullet"/>
      <w:lvlText w:val="-"/>
      <w:lvlJc w:val="left"/>
      <w:pPr>
        <w:ind w:left="720" w:hanging="360"/>
      </w:pPr>
      <w:rPr>
        <w:rFonts w:ascii="Times New Roman" w:eastAsia="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 w15:restartNumberingAfterBreak="0">
    <w:nsid w:val="678C2139"/>
    <w:multiLevelType w:val="hybridMultilevel"/>
    <w:tmpl w:val="A18C163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 w15:restartNumberingAfterBreak="0">
    <w:nsid w:val="6EC41F2B"/>
    <w:multiLevelType w:val="hybridMultilevel"/>
    <w:tmpl w:val="FADA347E"/>
    <w:lvl w:ilvl="0" w:tplc="8634FEA0">
      <w:start w:val="1"/>
      <w:numFmt w:val="lowerLetter"/>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6" w15:restartNumberingAfterBreak="0">
    <w:nsid w:val="71662E2D"/>
    <w:multiLevelType w:val="hybridMultilevel"/>
    <w:tmpl w:val="D57C79DC"/>
    <w:lvl w:ilvl="0" w:tplc="F1AA8E0C">
      <w:start w:val="4"/>
      <w:numFmt w:val="decimal"/>
      <w:lvlText w:val="%1."/>
      <w:lvlJc w:val="left"/>
      <w:pPr>
        <w:ind w:left="720" w:hanging="360"/>
      </w:pPr>
      <w:rPr>
        <w:rFonts w:hint="default"/>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7" w15:restartNumberingAfterBreak="0">
    <w:nsid w:val="76975E14"/>
    <w:multiLevelType w:val="hybridMultilevel"/>
    <w:tmpl w:val="6FD6E902"/>
    <w:lvl w:ilvl="0" w:tplc="6FE4F6DE">
      <w:start w:val="1"/>
      <w:numFmt w:val="bullet"/>
      <w:pStyle w:val="a0"/>
      <w:lvlText w:val=""/>
      <w:lvlJc w:val="left"/>
      <w:pPr>
        <w:ind w:left="6314" w:hanging="360"/>
      </w:pPr>
      <w:rPr>
        <w:rFonts w:ascii="Symbol" w:hAnsi="Symbol" w:hint="default"/>
      </w:rPr>
    </w:lvl>
    <w:lvl w:ilvl="1" w:tplc="04190019" w:tentative="1">
      <w:start w:val="1"/>
      <w:numFmt w:val="bullet"/>
      <w:lvlText w:val="o"/>
      <w:lvlJc w:val="left"/>
      <w:pPr>
        <w:ind w:left="1080" w:hanging="360"/>
      </w:pPr>
      <w:rPr>
        <w:rFonts w:ascii="Courier New" w:hAnsi="Courier New" w:cs="Courier New" w:hint="default"/>
      </w:rPr>
    </w:lvl>
    <w:lvl w:ilvl="2" w:tplc="0419001B" w:tentative="1">
      <w:start w:val="1"/>
      <w:numFmt w:val="bullet"/>
      <w:lvlText w:val=""/>
      <w:lvlJc w:val="left"/>
      <w:pPr>
        <w:ind w:left="1800" w:hanging="360"/>
      </w:pPr>
      <w:rPr>
        <w:rFonts w:ascii="Wingdings" w:hAnsi="Wingdings" w:hint="default"/>
      </w:rPr>
    </w:lvl>
    <w:lvl w:ilvl="3" w:tplc="0419000F" w:tentative="1">
      <w:start w:val="1"/>
      <w:numFmt w:val="bullet"/>
      <w:lvlText w:val=""/>
      <w:lvlJc w:val="left"/>
      <w:pPr>
        <w:ind w:left="2520" w:hanging="360"/>
      </w:pPr>
      <w:rPr>
        <w:rFonts w:ascii="Symbol" w:hAnsi="Symbol" w:hint="default"/>
      </w:rPr>
    </w:lvl>
    <w:lvl w:ilvl="4" w:tplc="04190019" w:tentative="1">
      <w:start w:val="1"/>
      <w:numFmt w:val="bullet"/>
      <w:lvlText w:val="o"/>
      <w:lvlJc w:val="left"/>
      <w:pPr>
        <w:ind w:left="3240" w:hanging="360"/>
      </w:pPr>
      <w:rPr>
        <w:rFonts w:ascii="Courier New" w:hAnsi="Courier New" w:cs="Courier New" w:hint="default"/>
      </w:rPr>
    </w:lvl>
    <w:lvl w:ilvl="5" w:tplc="0419001B" w:tentative="1">
      <w:start w:val="1"/>
      <w:numFmt w:val="bullet"/>
      <w:lvlText w:val=""/>
      <w:lvlJc w:val="left"/>
      <w:pPr>
        <w:ind w:left="3960" w:hanging="360"/>
      </w:pPr>
      <w:rPr>
        <w:rFonts w:ascii="Wingdings" w:hAnsi="Wingdings" w:hint="default"/>
      </w:rPr>
    </w:lvl>
    <w:lvl w:ilvl="6" w:tplc="0419000F" w:tentative="1">
      <w:start w:val="1"/>
      <w:numFmt w:val="bullet"/>
      <w:lvlText w:val=""/>
      <w:lvlJc w:val="left"/>
      <w:pPr>
        <w:ind w:left="4680" w:hanging="360"/>
      </w:pPr>
      <w:rPr>
        <w:rFonts w:ascii="Symbol" w:hAnsi="Symbol" w:hint="default"/>
      </w:rPr>
    </w:lvl>
    <w:lvl w:ilvl="7" w:tplc="04190019" w:tentative="1">
      <w:start w:val="1"/>
      <w:numFmt w:val="bullet"/>
      <w:lvlText w:val="o"/>
      <w:lvlJc w:val="left"/>
      <w:pPr>
        <w:ind w:left="5400" w:hanging="360"/>
      </w:pPr>
      <w:rPr>
        <w:rFonts w:ascii="Courier New" w:hAnsi="Courier New" w:cs="Courier New" w:hint="default"/>
      </w:rPr>
    </w:lvl>
    <w:lvl w:ilvl="8" w:tplc="0419001B" w:tentative="1">
      <w:start w:val="1"/>
      <w:numFmt w:val="bullet"/>
      <w:lvlText w:val=""/>
      <w:lvlJc w:val="left"/>
      <w:pPr>
        <w:ind w:left="6120" w:hanging="360"/>
      </w:pPr>
      <w:rPr>
        <w:rFonts w:ascii="Wingdings" w:hAnsi="Wingdings" w:hint="default"/>
      </w:rPr>
    </w:lvl>
  </w:abstractNum>
  <w:abstractNum w:abstractNumId="18" w15:restartNumberingAfterBreak="0">
    <w:nsid w:val="7AC7680D"/>
    <w:multiLevelType w:val="hybridMultilevel"/>
    <w:tmpl w:val="CFC42C50"/>
    <w:lvl w:ilvl="0" w:tplc="04190017">
      <w:start w:val="1"/>
      <w:numFmt w:val="lowerLetter"/>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15:restartNumberingAfterBreak="0">
    <w:nsid w:val="7ACD5922"/>
    <w:multiLevelType w:val="hybridMultilevel"/>
    <w:tmpl w:val="2D2C54D0"/>
    <w:lvl w:ilvl="0" w:tplc="F716A09C">
      <w:start w:val="1"/>
      <w:numFmt w:val="lowerLetter"/>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num w:numId="1">
    <w:abstractNumId w:val="11"/>
  </w:num>
  <w:num w:numId="2">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7"/>
  </w:num>
  <w:num w:numId="4">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5"/>
  </w:num>
  <w:num w:numId="10">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9"/>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10"/>
  </w:num>
  <w:num w:numId="13">
    <w:abstractNumId w:val="2"/>
  </w:num>
  <w:num w:numId="14">
    <w:abstractNumId w:val="4"/>
  </w:num>
  <w:num w:numId="15">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14"/>
  </w:num>
  <w:num w:numId="17">
    <w:abstractNumId w:val="13"/>
  </w:num>
  <w:num w:numId="18">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3"/>
  </w:num>
  <w:num w:numId="20">
    <w:abstractNumId w:val="18"/>
  </w:num>
  <w:numIdMacAtCleanup w:val="1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26AFB"/>
    <w:rsid w:val="00001C33"/>
    <w:rsid w:val="00001FCF"/>
    <w:rsid w:val="000040CA"/>
    <w:rsid w:val="0000433C"/>
    <w:rsid w:val="00005E2A"/>
    <w:rsid w:val="000079AD"/>
    <w:rsid w:val="00007D8E"/>
    <w:rsid w:val="000132B0"/>
    <w:rsid w:val="00020953"/>
    <w:rsid w:val="00021A2F"/>
    <w:rsid w:val="00022FDE"/>
    <w:rsid w:val="000237BC"/>
    <w:rsid w:val="00026807"/>
    <w:rsid w:val="00026AB2"/>
    <w:rsid w:val="00031F18"/>
    <w:rsid w:val="0003332C"/>
    <w:rsid w:val="000335C7"/>
    <w:rsid w:val="00037FEF"/>
    <w:rsid w:val="0004137A"/>
    <w:rsid w:val="00043106"/>
    <w:rsid w:val="00043903"/>
    <w:rsid w:val="000445F1"/>
    <w:rsid w:val="00044B70"/>
    <w:rsid w:val="00045689"/>
    <w:rsid w:val="000459AE"/>
    <w:rsid w:val="000462AC"/>
    <w:rsid w:val="0004690D"/>
    <w:rsid w:val="0005072F"/>
    <w:rsid w:val="00051545"/>
    <w:rsid w:val="000516D8"/>
    <w:rsid w:val="000517DF"/>
    <w:rsid w:val="00053A39"/>
    <w:rsid w:val="00054957"/>
    <w:rsid w:val="00055505"/>
    <w:rsid w:val="00056D33"/>
    <w:rsid w:val="0006481C"/>
    <w:rsid w:val="00064DD9"/>
    <w:rsid w:val="00067375"/>
    <w:rsid w:val="00067CEC"/>
    <w:rsid w:val="00071F7A"/>
    <w:rsid w:val="000733E1"/>
    <w:rsid w:val="0007741D"/>
    <w:rsid w:val="00077471"/>
    <w:rsid w:val="00080041"/>
    <w:rsid w:val="00081263"/>
    <w:rsid w:val="00082243"/>
    <w:rsid w:val="00083553"/>
    <w:rsid w:val="00083C16"/>
    <w:rsid w:val="00085998"/>
    <w:rsid w:val="0009087A"/>
    <w:rsid w:val="00090D1E"/>
    <w:rsid w:val="00091177"/>
    <w:rsid w:val="000917B5"/>
    <w:rsid w:val="0009263E"/>
    <w:rsid w:val="00096F8F"/>
    <w:rsid w:val="000A1D6A"/>
    <w:rsid w:val="000A54DE"/>
    <w:rsid w:val="000A6F18"/>
    <w:rsid w:val="000C0F7F"/>
    <w:rsid w:val="000C1E0E"/>
    <w:rsid w:val="000C4807"/>
    <w:rsid w:val="000C54C6"/>
    <w:rsid w:val="000C574E"/>
    <w:rsid w:val="000D2BFC"/>
    <w:rsid w:val="000D3E2F"/>
    <w:rsid w:val="000E2815"/>
    <w:rsid w:val="000E403D"/>
    <w:rsid w:val="000E56FA"/>
    <w:rsid w:val="000E7048"/>
    <w:rsid w:val="000E7C8A"/>
    <w:rsid w:val="000F08D7"/>
    <w:rsid w:val="000F6177"/>
    <w:rsid w:val="000F695B"/>
    <w:rsid w:val="000F752B"/>
    <w:rsid w:val="000F7DB1"/>
    <w:rsid w:val="0010069B"/>
    <w:rsid w:val="00101160"/>
    <w:rsid w:val="00102543"/>
    <w:rsid w:val="0010573F"/>
    <w:rsid w:val="001073E7"/>
    <w:rsid w:val="001077F0"/>
    <w:rsid w:val="001126C5"/>
    <w:rsid w:val="00112887"/>
    <w:rsid w:val="00112B0B"/>
    <w:rsid w:val="001159FD"/>
    <w:rsid w:val="00115C9F"/>
    <w:rsid w:val="00116850"/>
    <w:rsid w:val="00117716"/>
    <w:rsid w:val="00117A06"/>
    <w:rsid w:val="00121CC5"/>
    <w:rsid w:val="00122528"/>
    <w:rsid w:val="00124857"/>
    <w:rsid w:val="00126BFB"/>
    <w:rsid w:val="00131399"/>
    <w:rsid w:val="00133F44"/>
    <w:rsid w:val="00136FD6"/>
    <w:rsid w:val="0013780A"/>
    <w:rsid w:val="00141A81"/>
    <w:rsid w:val="00142075"/>
    <w:rsid w:val="0014360E"/>
    <w:rsid w:val="00145903"/>
    <w:rsid w:val="001459DC"/>
    <w:rsid w:val="001574AA"/>
    <w:rsid w:val="00160EA8"/>
    <w:rsid w:val="00162F2C"/>
    <w:rsid w:val="00167514"/>
    <w:rsid w:val="00170244"/>
    <w:rsid w:val="0017257F"/>
    <w:rsid w:val="00173427"/>
    <w:rsid w:val="00173844"/>
    <w:rsid w:val="00174FFD"/>
    <w:rsid w:val="00175E23"/>
    <w:rsid w:val="00176860"/>
    <w:rsid w:val="001817F2"/>
    <w:rsid w:val="001860BD"/>
    <w:rsid w:val="001952CC"/>
    <w:rsid w:val="001965AC"/>
    <w:rsid w:val="001A645B"/>
    <w:rsid w:val="001B3236"/>
    <w:rsid w:val="001B6188"/>
    <w:rsid w:val="001B66CE"/>
    <w:rsid w:val="001B7639"/>
    <w:rsid w:val="001C0360"/>
    <w:rsid w:val="001C11EC"/>
    <w:rsid w:val="001C39E8"/>
    <w:rsid w:val="001D0FE9"/>
    <w:rsid w:val="001D4FD3"/>
    <w:rsid w:val="001E2AD1"/>
    <w:rsid w:val="001F2694"/>
    <w:rsid w:val="001F377D"/>
    <w:rsid w:val="001F597B"/>
    <w:rsid w:val="001F5C27"/>
    <w:rsid w:val="00200626"/>
    <w:rsid w:val="002042C8"/>
    <w:rsid w:val="0020511E"/>
    <w:rsid w:val="00206828"/>
    <w:rsid w:val="002104D4"/>
    <w:rsid w:val="0021152F"/>
    <w:rsid w:val="00213010"/>
    <w:rsid w:val="00213807"/>
    <w:rsid w:val="0021658A"/>
    <w:rsid w:val="00222186"/>
    <w:rsid w:val="00224DCB"/>
    <w:rsid w:val="00227D32"/>
    <w:rsid w:val="002346DE"/>
    <w:rsid w:val="00235149"/>
    <w:rsid w:val="0023653C"/>
    <w:rsid w:val="002378C6"/>
    <w:rsid w:val="00237F83"/>
    <w:rsid w:val="0024601A"/>
    <w:rsid w:val="00247BAB"/>
    <w:rsid w:val="00247F7E"/>
    <w:rsid w:val="00252272"/>
    <w:rsid w:val="00253B7B"/>
    <w:rsid w:val="00254400"/>
    <w:rsid w:val="00261D47"/>
    <w:rsid w:val="00263747"/>
    <w:rsid w:val="00272D55"/>
    <w:rsid w:val="002748ED"/>
    <w:rsid w:val="00277C0F"/>
    <w:rsid w:val="0028227A"/>
    <w:rsid w:val="00282945"/>
    <w:rsid w:val="00283397"/>
    <w:rsid w:val="00284C12"/>
    <w:rsid w:val="00290122"/>
    <w:rsid w:val="00290779"/>
    <w:rsid w:val="00290E16"/>
    <w:rsid w:val="0029211A"/>
    <w:rsid w:val="00294239"/>
    <w:rsid w:val="00294498"/>
    <w:rsid w:val="002945D3"/>
    <w:rsid w:val="002977B2"/>
    <w:rsid w:val="002A149C"/>
    <w:rsid w:val="002A2679"/>
    <w:rsid w:val="002A2801"/>
    <w:rsid w:val="002B2037"/>
    <w:rsid w:val="002B68B4"/>
    <w:rsid w:val="002B7F66"/>
    <w:rsid w:val="002C0389"/>
    <w:rsid w:val="002C34A4"/>
    <w:rsid w:val="002C4D32"/>
    <w:rsid w:val="002C56D4"/>
    <w:rsid w:val="002C6D9C"/>
    <w:rsid w:val="002C6ECD"/>
    <w:rsid w:val="002D054D"/>
    <w:rsid w:val="002D08A5"/>
    <w:rsid w:val="002D15D6"/>
    <w:rsid w:val="002D22C0"/>
    <w:rsid w:val="002D3D3B"/>
    <w:rsid w:val="002D44E9"/>
    <w:rsid w:val="002D4DFE"/>
    <w:rsid w:val="002D630D"/>
    <w:rsid w:val="002D6392"/>
    <w:rsid w:val="002E1149"/>
    <w:rsid w:val="002E22FC"/>
    <w:rsid w:val="002E2398"/>
    <w:rsid w:val="002E4122"/>
    <w:rsid w:val="002E4892"/>
    <w:rsid w:val="002E4CB8"/>
    <w:rsid w:val="002E6265"/>
    <w:rsid w:val="002F1421"/>
    <w:rsid w:val="002F1A78"/>
    <w:rsid w:val="002F24F1"/>
    <w:rsid w:val="002F3288"/>
    <w:rsid w:val="002F439F"/>
    <w:rsid w:val="003015A6"/>
    <w:rsid w:val="00301B41"/>
    <w:rsid w:val="00303E8F"/>
    <w:rsid w:val="00304CCE"/>
    <w:rsid w:val="00304FD5"/>
    <w:rsid w:val="00305FE4"/>
    <w:rsid w:val="003064AA"/>
    <w:rsid w:val="003068E8"/>
    <w:rsid w:val="0031006B"/>
    <w:rsid w:val="00310AE7"/>
    <w:rsid w:val="00314BFF"/>
    <w:rsid w:val="0031590E"/>
    <w:rsid w:val="00331412"/>
    <w:rsid w:val="003315CD"/>
    <w:rsid w:val="0033162F"/>
    <w:rsid w:val="00332573"/>
    <w:rsid w:val="003328E3"/>
    <w:rsid w:val="00337C70"/>
    <w:rsid w:val="00340640"/>
    <w:rsid w:val="00340AD7"/>
    <w:rsid w:val="0034295B"/>
    <w:rsid w:val="003435E1"/>
    <w:rsid w:val="00344410"/>
    <w:rsid w:val="00344D38"/>
    <w:rsid w:val="00345814"/>
    <w:rsid w:val="00351946"/>
    <w:rsid w:val="00352668"/>
    <w:rsid w:val="0035416D"/>
    <w:rsid w:val="003561BC"/>
    <w:rsid w:val="00356A04"/>
    <w:rsid w:val="003614C7"/>
    <w:rsid w:val="00361803"/>
    <w:rsid w:val="00362D66"/>
    <w:rsid w:val="00371497"/>
    <w:rsid w:val="00371C29"/>
    <w:rsid w:val="003729E6"/>
    <w:rsid w:val="00375297"/>
    <w:rsid w:val="003759FF"/>
    <w:rsid w:val="00377A03"/>
    <w:rsid w:val="0038227D"/>
    <w:rsid w:val="003871D3"/>
    <w:rsid w:val="00387488"/>
    <w:rsid w:val="0038796E"/>
    <w:rsid w:val="00391A4E"/>
    <w:rsid w:val="00391BCF"/>
    <w:rsid w:val="00392304"/>
    <w:rsid w:val="003931CA"/>
    <w:rsid w:val="00394A5F"/>
    <w:rsid w:val="00397054"/>
    <w:rsid w:val="003A1761"/>
    <w:rsid w:val="003A1CB2"/>
    <w:rsid w:val="003A3194"/>
    <w:rsid w:val="003A3388"/>
    <w:rsid w:val="003A5F5F"/>
    <w:rsid w:val="003A6EC9"/>
    <w:rsid w:val="003A7ADB"/>
    <w:rsid w:val="003B1EB8"/>
    <w:rsid w:val="003B65D7"/>
    <w:rsid w:val="003C5119"/>
    <w:rsid w:val="003D1D0B"/>
    <w:rsid w:val="003D2BA5"/>
    <w:rsid w:val="003D4297"/>
    <w:rsid w:val="003D455E"/>
    <w:rsid w:val="003E109C"/>
    <w:rsid w:val="003E32CE"/>
    <w:rsid w:val="003E41B4"/>
    <w:rsid w:val="003E4580"/>
    <w:rsid w:val="003E783A"/>
    <w:rsid w:val="003F09AB"/>
    <w:rsid w:val="003F40DA"/>
    <w:rsid w:val="003F5B5E"/>
    <w:rsid w:val="003F5FCC"/>
    <w:rsid w:val="003F784E"/>
    <w:rsid w:val="00400EA8"/>
    <w:rsid w:val="004011F0"/>
    <w:rsid w:val="004037F6"/>
    <w:rsid w:val="0040410A"/>
    <w:rsid w:val="004067B2"/>
    <w:rsid w:val="00407FB9"/>
    <w:rsid w:val="00410D06"/>
    <w:rsid w:val="004129E2"/>
    <w:rsid w:val="00420CB8"/>
    <w:rsid w:val="004215FE"/>
    <w:rsid w:val="00422BD0"/>
    <w:rsid w:val="00425C79"/>
    <w:rsid w:val="00431EC3"/>
    <w:rsid w:val="00432B1D"/>
    <w:rsid w:val="004344E1"/>
    <w:rsid w:val="004431AA"/>
    <w:rsid w:val="0044479D"/>
    <w:rsid w:val="004479AD"/>
    <w:rsid w:val="00453BBC"/>
    <w:rsid w:val="0046038D"/>
    <w:rsid w:val="00463FF2"/>
    <w:rsid w:val="004648C8"/>
    <w:rsid w:val="004661FE"/>
    <w:rsid w:val="00466FC3"/>
    <w:rsid w:val="00470FDC"/>
    <w:rsid w:val="004712FD"/>
    <w:rsid w:val="0047437A"/>
    <w:rsid w:val="00480DAA"/>
    <w:rsid w:val="0048114F"/>
    <w:rsid w:val="0048206A"/>
    <w:rsid w:val="00483770"/>
    <w:rsid w:val="004866E9"/>
    <w:rsid w:val="00487A24"/>
    <w:rsid w:val="00490938"/>
    <w:rsid w:val="004955AA"/>
    <w:rsid w:val="00496FB2"/>
    <w:rsid w:val="004B29A2"/>
    <w:rsid w:val="004B3006"/>
    <w:rsid w:val="004B4275"/>
    <w:rsid w:val="004B4805"/>
    <w:rsid w:val="004B5CF6"/>
    <w:rsid w:val="004C030A"/>
    <w:rsid w:val="004C0D66"/>
    <w:rsid w:val="004C152A"/>
    <w:rsid w:val="004C1EC6"/>
    <w:rsid w:val="004C386F"/>
    <w:rsid w:val="004C73CB"/>
    <w:rsid w:val="004D0E86"/>
    <w:rsid w:val="004D3319"/>
    <w:rsid w:val="004D45A8"/>
    <w:rsid w:val="004D61AC"/>
    <w:rsid w:val="004E214A"/>
    <w:rsid w:val="004E2ACE"/>
    <w:rsid w:val="004E777D"/>
    <w:rsid w:val="004F06BC"/>
    <w:rsid w:val="004F3290"/>
    <w:rsid w:val="004F3970"/>
    <w:rsid w:val="004F43C6"/>
    <w:rsid w:val="004F4495"/>
    <w:rsid w:val="004F46E3"/>
    <w:rsid w:val="004F70F7"/>
    <w:rsid w:val="00502989"/>
    <w:rsid w:val="0050484D"/>
    <w:rsid w:val="00504C77"/>
    <w:rsid w:val="005100D6"/>
    <w:rsid w:val="0051493D"/>
    <w:rsid w:val="00514FA2"/>
    <w:rsid w:val="00517DE9"/>
    <w:rsid w:val="00520F72"/>
    <w:rsid w:val="005211E2"/>
    <w:rsid w:val="005216E1"/>
    <w:rsid w:val="00523137"/>
    <w:rsid w:val="0052406B"/>
    <w:rsid w:val="0052483B"/>
    <w:rsid w:val="00525882"/>
    <w:rsid w:val="005315EA"/>
    <w:rsid w:val="005345F2"/>
    <w:rsid w:val="00535384"/>
    <w:rsid w:val="00536155"/>
    <w:rsid w:val="00537A1A"/>
    <w:rsid w:val="0054073A"/>
    <w:rsid w:val="00540794"/>
    <w:rsid w:val="00541670"/>
    <w:rsid w:val="00543515"/>
    <w:rsid w:val="00543EE4"/>
    <w:rsid w:val="00547FB9"/>
    <w:rsid w:val="00550834"/>
    <w:rsid w:val="00551C5D"/>
    <w:rsid w:val="00552AF6"/>
    <w:rsid w:val="00553053"/>
    <w:rsid w:val="00555924"/>
    <w:rsid w:val="0055659E"/>
    <w:rsid w:val="00561F9A"/>
    <w:rsid w:val="00566BB8"/>
    <w:rsid w:val="00567CE3"/>
    <w:rsid w:val="00572A87"/>
    <w:rsid w:val="00572AF7"/>
    <w:rsid w:val="0057568B"/>
    <w:rsid w:val="00576D6A"/>
    <w:rsid w:val="00580162"/>
    <w:rsid w:val="0058020A"/>
    <w:rsid w:val="00580967"/>
    <w:rsid w:val="00580E92"/>
    <w:rsid w:val="00582D76"/>
    <w:rsid w:val="0058339E"/>
    <w:rsid w:val="00584B97"/>
    <w:rsid w:val="00585F1F"/>
    <w:rsid w:val="00586716"/>
    <w:rsid w:val="005932E1"/>
    <w:rsid w:val="00595A26"/>
    <w:rsid w:val="005961DB"/>
    <w:rsid w:val="005A11D8"/>
    <w:rsid w:val="005A18E4"/>
    <w:rsid w:val="005A31AB"/>
    <w:rsid w:val="005A49D2"/>
    <w:rsid w:val="005A58E4"/>
    <w:rsid w:val="005A5D55"/>
    <w:rsid w:val="005A5E8A"/>
    <w:rsid w:val="005A62A1"/>
    <w:rsid w:val="005A7D37"/>
    <w:rsid w:val="005B44B4"/>
    <w:rsid w:val="005B5E19"/>
    <w:rsid w:val="005B708C"/>
    <w:rsid w:val="005B70C0"/>
    <w:rsid w:val="005C09A9"/>
    <w:rsid w:val="005C0D47"/>
    <w:rsid w:val="005C0E00"/>
    <w:rsid w:val="005C3569"/>
    <w:rsid w:val="005C468D"/>
    <w:rsid w:val="005C479E"/>
    <w:rsid w:val="005C61C7"/>
    <w:rsid w:val="005C7E00"/>
    <w:rsid w:val="005C7E6E"/>
    <w:rsid w:val="005D1982"/>
    <w:rsid w:val="005D1F7B"/>
    <w:rsid w:val="005D4BAF"/>
    <w:rsid w:val="005D4F3E"/>
    <w:rsid w:val="005D5B18"/>
    <w:rsid w:val="005D73FF"/>
    <w:rsid w:val="005D7E86"/>
    <w:rsid w:val="005E00EB"/>
    <w:rsid w:val="005E4295"/>
    <w:rsid w:val="005E47D5"/>
    <w:rsid w:val="005E6AB8"/>
    <w:rsid w:val="005E6CD7"/>
    <w:rsid w:val="005E7B4E"/>
    <w:rsid w:val="005F10CB"/>
    <w:rsid w:val="005F1FA4"/>
    <w:rsid w:val="005F2215"/>
    <w:rsid w:val="005F3478"/>
    <w:rsid w:val="005F4CA6"/>
    <w:rsid w:val="00605BD0"/>
    <w:rsid w:val="006129C8"/>
    <w:rsid w:val="00612BD6"/>
    <w:rsid w:val="006142AD"/>
    <w:rsid w:val="0062084E"/>
    <w:rsid w:val="006222F4"/>
    <w:rsid w:val="00626332"/>
    <w:rsid w:val="006277B0"/>
    <w:rsid w:val="00630524"/>
    <w:rsid w:val="00634C93"/>
    <w:rsid w:val="00635DCF"/>
    <w:rsid w:val="00636CA5"/>
    <w:rsid w:val="00636F06"/>
    <w:rsid w:val="00641B9E"/>
    <w:rsid w:val="00643AFF"/>
    <w:rsid w:val="006449CC"/>
    <w:rsid w:val="00645856"/>
    <w:rsid w:val="00647AE8"/>
    <w:rsid w:val="00647D38"/>
    <w:rsid w:val="006513B0"/>
    <w:rsid w:val="00651B94"/>
    <w:rsid w:val="00652DEF"/>
    <w:rsid w:val="006538B7"/>
    <w:rsid w:val="006555E6"/>
    <w:rsid w:val="00656C1F"/>
    <w:rsid w:val="00660DB0"/>
    <w:rsid w:val="006621DE"/>
    <w:rsid w:val="00662809"/>
    <w:rsid w:val="006628D0"/>
    <w:rsid w:val="00664536"/>
    <w:rsid w:val="006663E4"/>
    <w:rsid w:val="00671378"/>
    <w:rsid w:val="00675AA6"/>
    <w:rsid w:val="00677512"/>
    <w:rsid w:val="00677D3E"/>
    <w:rsid w:val="006821A9"/>
    <w:rsid w:val="00685A03"/>
    <w:rsid w:val="00685E5D"/>
    <w:rsid w:val="00686C2A"/>
    <w:rsid w:val="006905AB"/>
    <w:rsid w:val="00691EAF"/>
    <w:rsid w:val="006928C8"/>
    <w:rsid w:val="00692AA5"/>
    <w:rsid w:val="006940E4"/>
    <w:rsid w:val="00697D16"/>
    <w:rsid w:val="006A0F30"/>
    <w:rsid w:val="006A1792"/>
    <w:rsid w:val="006A33EF"/>
    <w:rsid w:val="006A48DC"/>
    <w:rsid w:val="006A4AAA"/>
    <w:rsid w:val="006A5ABE"/>
    <w:rsid w:val="006A68A1"/>
    <w:rsid w:val="006A7007"/>
    <w:rsid w:val="006A7418"/>
    <w:rsid w:val="006A7F7E"/>
    <w:rsid w:val="006C138D"/>
    <w:rsid w:val="006C5D99"/>
    <w:rsid w:val="006C7C96"/>
    <w:rsid w:val="006D089D"/>
    <w:rsid w:val="006D3061"/>
    <w:rsid w:val="006D43EF"/>
    <w:rsid w:val="006D52AC"/>
    <w:rsid w:val="006D6AA7"/>
    <w:rsid w:val="006E531C"/>
    <w:rsid w:val="006E592C"/>
    <w:rsid w:val="006E63E3"/>
    <w:rsid w:val="006F0CC3"/>
    <w:rsid w:val="006F12C4"/>
    <w:rsid w:val="006F229B"/>
    <w:rsid w:val="006F2526"/>
    <w:rsid w:val="006F46D2"/>
    <w:rsid w:val="006F4CAA"/>
    <w:rsid w:val="006F5196"/>
    <w:rsid w:val="006F691E"/>
    <w:rsid w:val="0070099D"/>
    <w:rsid w:val="00700EAF"/>
    <w:rsid w:val="00703367"/>
    <w:rsid w:val="0070492D"/>
    <w:rsid w:val="0070494A"/>
    <w:rsid w:val="0071145E"/>
    <w:rsid w:val="00712D32"/>
    <w:rsid w:val="00717F0D"/>
    <w:rsid w:val="007255FA"/>
    <w:rsid w:val="0072606A"/>
    <w:rsid w:val="00726B5C"/>
    <w:rsid w:val="0073754B"/>
    <w:rsid w:val="0074082C"/>
    <w:rsid w:val="007415B3"/>
    <w:rsid w:val="0074483F"/>
    <w:rsid w:val="007553A7"/>
    <w:rsid w:val="0075559A"/>
    <w:rsid w:val="00757B00"/>
    <w:rsid w:val="0076101A"/>
    <w:rsid w:val="0076120B"/>
    <w:rsid w:val="007612F9"/>
    <w:rsid w:val="00761670"/>
    <w:rsid w:val="00761D43"/>
    <w:rsid w:val="007620C5"/>
    <w:rsid w:val="00763901"/>
    <w:rsid w:val="00763923"/>
    <w:rsid w:val="007660F3"/>
    <w:rsid w:val="007666B5"/>
    <w:rsid w:val="00767AF7"/>
    <w:rsid w:val="00767D8F"/>
    <w:rsid w:val="007760D0"/>
    <w:rsid w:val="007764C5"/>
    <w:rsid w:val="00776DDA"/>
    <w:rsid w:val="007814D1"/>
    <w:rsid w:val="00781D09"/>
    <w:rsid w:val="00782517"/>
    <w:rsid w:val="00785AC0"/>
    <w:rsid w:val="00786B9F"/>
    <w:rsid w:val="00786DC8"/>
    <w:rsid w:val="00787067"/>
    <w:rsid w:val="00787422"/>
    <w:rsid w:val="00787C77"/>
    <w:rsid w:val="007910DC"/>
    <w:rsid w:val="007921C0"/>
    <w:rsid w:val="00792F3B"/>
    <w:rsid w:val="007932D9"/>
    <w:rsid w:val="00795E8F"/>
    <w:rsid w:val="00797521"/>
    <w:rsid w:val="007A2C06"/>
    <w:rsid w:val="007A698E"/>
    <w:rsid w:val="007A6F6E"/>
    <w:rsid w:val="007A7521"/>
    <w:rsid w:val="007A75E6"/>
    <w:rsid w:val="007B3B75"/>
    <w:rsid w:val="007B4C29"/>
    <w:rsid w:val="007B53D4"/>
    <w:rsid w:val="007B6F46"/>
    <w:rsid w:val="007B7024"/>
    <w:rsid w:val="007B7757"/>
    <w:rsid w:val="007C4950"/>
    <w:rsid w:val="007C4CE3"/>
    <w:rsid w:val="007C5B2F"/>
    <w:rsid w:val="007C7493"/>
    <w:rsid w:val="007D1D27"/>
    <w:rsid w:val="007D30D1"/>
    <w:rsid w:val="007D41B2"/>
    <w:rsid w:val="007D57C8"/>
    <w:rsid w:val="007D6454"/>
    <w:rsid w:val="007D6C44"/>
    <w:rsid w:val="007E04C2"/>
    <w:rsid w:val="007E4AA2"/>
    <w:rsid w:val="007E59A0"/>
    <w:rsid w:val="007E650B"/>
    <w:rsid w:val="007F0D35"/>
    <w:rsid w:val="007F3C30"/>
    <w:rsid w:val="007F4366"/>
    <w:rsid w:val="007F4941"/>
    <w:rsid w:val="007F660E"/>
    <w:rsid w:val="007F7DAD"/>
    <w:rsid w:val="00801376"/>
    <w:rsid w:val="008030F7"/>
    <w:rsid w:val="00803651"/>
    <w:rsid w:val="00803892"/>
    <w:rsid w:val="008045D7"/>
    <w:rsid w:val="008077B8"/>
    <w:rsid w:val="00812AEE"/>
    <w:rsid w:val="00813AF6"/>
    <w:rsid w:val="00813C02"/>
    <w:rsid w:val="00817B9E"/>
    <w:rsid w:val="00820045"/>
    <w:rsid w:val="00823CFC"/>
    <w:rsid w:val="00826041"/>
    <w:rsid w:val="00826150"/>
    <w:rsid w:val="0082651B"/>
    <w:rsid w:val="008301BF"/>
    <w:rsid w:val="008325D7"/>
    <w:rsid w:val="008352D0"/>
    <w:rsid w:val="008431C5"/>
    <w:rsid w:val="008436D9"/>
    <w:rsid w:val="008438CE"/>
    <w:rsid w:val="00846B64"/>
    <w:rsid w:val="00850E48"/>
    <w:rsid w:val="0085143C"/>
    <w:rsid w:val="00851918"/>
    <w:rsid w:val="00851C3B"/>
    <w:rsid w:val="00855205"/>
    <w:rsid w:val="008552F2"/>
    <w:rsid w:val="00855A7A"/>
    <w:rsid w:val="0086177F"/>
    <w:rsid w:val="00862485"/>
    <w:rsid w:val="008635D0"/>
    <w:rsid w:val="00863B19"/>
    <w:rsid w:val="00865B13"/>
    <w:rsid w:val="008727FB"/>
    <w:rsid w:val="00872F44"/>
    <w:rsid w:val="00880E66"/>
    <w:rsid w:val="008815F5"/>
    <w:rsid w:val="008835F7"/>
    <w:rsid w:val="00885C4A"/>
    <w:rsid w:val="00885EFC"/>
    <w:rsid w:val="00886D62"/>
    <w:rsid w:val="008876A5"/>
    <w:rsid w:val="0089021A"/>
    <w:rsid w:val="00891643"/>
    <w:rsid w:val="00896564"/>
    <w:rsid w:val="008967AF"/>
    <w:rsid w:val="00896E08"/>
    <w:rsid w:val="008A27EC"/>
    <w:rsid w:val="008A58D4"/>
    <w:rsid w:val="008A752F"/>
    <w:rsid w:val="008A79C0"/>
    <w:rsid w:val="008B6FF8"/>
    <w:rsid w:val="008B7286"/>
    <w:rsid w:val="008B7E6A"/>
    <w:rsid w:val="008C79D4"/>
    <w:rsid w:val="008D053E"/>
    <w:rsid w:val="008D07C3"/>
    <w:rsid w:val="008D3D7B"/>
    <w:rsid w:val="008D49ED"/>
    <w:rsid w:val="008D7B20"/>
    <w:rsid w:val="008E09F2"/>
    <w:rsid w:val="008F177D"/>
    <w:rsid w:val="008F1BF8"/>
    <w:rsid w:val="008F1F06"/>
    <w:rsid w:val="008F2700"/>
    <w:rsid w:val="008F2EC5"/>
    <w:rsid w:val="008F4503"/>
    <w:rsid w:val="008F6243"/>
    <w:rsid w:val="008F7722"/>
    <w:rsid w:val="008F779C"/>
    <w:rsid w:val="008F7980"/>
    <w:rsid w:val="0090022C"/>
    <w:rsid w:val="0090527C"/>
    <w:rsid w:val="00907345"/>
    <w:rsid w:val="00907FD9"/>
    <w:rsid w:val="0091002F"/>
    <w:rsid w:val="00910E01"/>
    <w:rsid w:val="009161D3"/>
    <w:rsid w:val="00916CAB"/>
    <w:rsid w:val="00922D96"/>
    <w:rsid w:val="0092693B"/>
    <w:rsid w:val="00926BA7"/>
    <w:rsid w:val="00930441"/>
    <w:rsid w:val="0093588D"/>
    <w:rsid w:val="00936334"/>
    <w:rsid w:val="009411E4"/>
    <w:rsid w:val="0094208B"/>
    <w:rsid w:val="00942BDB"/>
    <w:rsid w:val="00943112"/>
    <w:rsid w:val="00943975"/>
    <w:rsid w:val="00944F36"/>
    <w:rsid w:val="00945A52"/>
    <w:rsid w:val="00946217"/>
    <w:rsid w:val="00946832"/>
    <w:rsid w:val="00950D8B"/>
    <w:rsid w:val="00952EB6"/>
    <w:rsid w:val="009560C5"/>
    <w:rsid w:val="00956563"/>
    <w:rsid w:val="00957AC1"/>
    <w:rsid w:val="00957FDE"/>
    <w:rsid w:val="0096446B"/>
    <w:rsid w:val="00964671"/>
    <w:rsid w:val="00973504"/>
    <w:rsid w:val="00973531"/>
    <w:rsid w:val="00973E3B"/>
    <w:rsid w:val="0098027F"/>
    <w:rsid w:val="00980F4E"/>
    <w:rsid w:val="009825BC"/>
    <w:rsid w:val="00982F9B"/>
    <w:rsid w:val="00982FBA"/>
    <w:rsid w:val="00983EA6"/>
    <w:rsid w:val="00984BE0"/>
    <w:rsid w:val="00985E83"/>
    <w:rsid w:val="009864AA"/>
    <w:rsid w:val="00986D39"/>
    <w:rsid w:val="0098752B"/>
    <w:rsid w:val="00994C37"/>
    <w:rsid w:val="009A017E"/>
    <w:rsid w:val="009A4F16"/>
    <w:rsid w:val="009A606D"/>
    <w:rsid w:val="009A6884"/>
    <w:rsid w:val="009A7225"/>
    <w:rsid w:val="009A7B35"/>
    <w:rsid w:val="009B2372"/>
    <w:rsid w:val="009B32AB"/>
    <w:rsid w:val="009B56A5"/>
    <w:rsid w:val="009B58D7"/>
    <w:rsid w:val="009C2D89"/>
    <w:rsid w:val="009C39A3"/>
    <w:rsid w:val="009C78DB"/>
    <w:rsid w:val="009D3082"/>
    <w:rsid w:val="009D5DFF"/>
    <w:rsid w:val="009E2A90"/>
    <w:rsid w:val="009E323B"/>
    <w:rsid w:val="009F0209"/>
    <w:rsid w:val="009F042B"/>
    <w:rsid w:val="009F0CD6"/>
    <w:rsid w:val="009F2C02"/>
    <w:rsid w:val="009F3740"/>
    <w:rsid w:val="009F4001"/>
    <w:rsid w:val="009F48BD"/>
    <w:rsid w:val="009F5ACB"/>
    <w:rsid w:val="009F5C2B"/>
    <w:rsid w:val="009F5C48"/>
    <w:rsid w:val="009F6F30"/>
    <w:rsid w:val="00A01984"/>
    <w:rsid w:val="00A01C95"/>
    <w:rsid w:val="00A03558"/>
    <w:rsid w:val="00A041F6"/>
    <w:rsid w:val="00A10033"/>
    <w:rsid w:val="00A14D19"/>
    <w:rsid w:val="00A22B8D"/>
    <w:rsid w:val="00A26AFB"/>
    <w:rsid w:val="00A32EBA"/>
    <w:rsid w:val="00A37393"/>
    <w:rsid w:val="00A37B67"/>
    <w:rsid w:val="00A436A3"/>
    <w:rsid w:val="00A45D09"/>
    <w:rsid w:val="00A45E05"/>
    <w:rsid w:val="00A469CC"/>
    <w:rsid w:val="00A46D81"/>
    <w:rsid w:val="00A50711"/>
    <w:rsid w:val="00A50AC3"/>
    <w:rsid w:val="00A527DF"/>
    <w:rsid w:val="00A56B8C"/>
    <w:rsid w:val="00A61034"/>
    <w:rsid w:val="00A6351C"/>
    <w:rsid w:val="00A71058"/>
    <w:rsid w:val="00A74896"/>
    <w:rsid w:val="00A764D8"/>
    <w:rsid w:val="00A827E7"/>
    <w:rsid w:val="00A82851"/>
    <w:rsid w:val="00A872B4"/>
    <w:rsid w:val="00A928A7"/>
    <w:rsid w:val="00A93307"/>
    <w:rsid w:val="00A96A67"/>
    <w:rsid w:val="00AA3DD4"/>
    <w:rsid w:val="00AB131C"/>
    <w:rsid w:val="00AB1755"/>
    <w:rsid w:val="00AB2997"/>
    <w:rsid w:val="00AB4B9B"/>
    <w:rsid w:val="00AC1DED"/>
    <w:rsid w:val="00AC1E22"/>
    <w:rsid w:val="00AC79E5"/>
    <w:rsid w:val="00AD1387"/>
    <w:rsid w:val="00AD5263"/>
    <w:rsid w:val="00AD5473"/>
    <w:rsid w:val="00AD6488"/>
    <w:rsid w:val="00AD7A5E"/>
    <w:rsid w:val="00AE14E0"/>
    <w:rsid w:val="00AE1A76"/>
    <w:rsid w:val="00AE23CD"/>
    <w:rsid w:val="00AE37E2"/>
    <w:rsid w:val="00AE5FFB"/>
    <w:rsid w:val="00AE7123"/>
    <w:rsid w:val="00AF0291"/>
    <w:rsid w:val="00AF4649"/>
    <w:rsid w:val="00AF534F"/>
    <w:rsid w:val="00AF6AF5"/>
    <w:rsid w:val="00AF78DA"/>
    <w:rsid w:val="00AF7F94"/>
    <w:rsid w:val="00B009F9"/>
    <w:rsid w:val="00B010CD"/>
    <w:rsid w:val="00B01F1D"/>
    <w:rsid w:val="00B04048"/>
    <w:rsid w:val="00B05B51"/>
    <w:rsid w:val="00B05D5D"/>
    <w:rsid w:val="00B05D9C"/>
    <w:rsid w:val="00B06960"/>
    <w:rsid w:val="00B10289"/>
    <w:rsid w:val="00B11A93"/>
    <w:rsid w:val="00B12069"/>
    <w:rsid w:val="00B17C9C"/>
    <w:rsid w:val="00B21E64"/>
    <w:rsid w:val="00B22C06"/>
    <w:rsid w:val="00B278B2"/>
    <w:rsid w:val="00B31709"/>
    <w:rsid w:val="00B3340D"/>
    <w:rsid w:val="00B33769"/>
    <w:rsid w:val="00B33B4C"/>
    <w:rsid w:val="00B3677F"/>
    <w:rsid w:val="00B402EF"/>
    <w:rsid w:val="00B40F53"/>
    <w:rsid w:val="00B4156E"/>
    <w:rsid w:val="00B4289B"/>
    <w:rsid w:val="00B437CA"/>
    <w:rsid w:val="00B46853"/>
    <w:rsid w:val="00B53288"/>
    <w:rsid w:val="00B55F9E"/>
    <w:rsid w:val="00B563E2"/>
    <w:rsid w:val="00B615F3"/>
    <w:rsid w:val="00B62ECA"/>
    <w:rsid w:val="00B6330D"/>
    <w:rsid w:val="00B64C2C"/>
    <w:rsid w:val="00B64F2F"/>
    <w:rsid w:val="00B662C1"/>
    <w:rsid w:val="00B66F31"/>
    <w:rsid w:val="00B67F44"/>
    <w:rsid w:val="00B70F12"/>
    <w:rsid w:val="00B75D9E"/>
    <w:rsid w:val="00B81354"/>
    <w:rsid w:val="00B81890"/>
    <w:rsid w:val="00B85418"/>
    <w:rsid w:val="00B858B3"/>
    <w:rsid w:val="00B90485"/>
    <w:rsid w:val="00B926B4"/>
    <w:rsid w:val="00B9393F"/>
    <w:rsid w:val="00B93C22"/>
    <w:rsid w:val="00B97B9A"/>
    <w:rsid w:val="00B97DE5"/>
    <w:rsid w:val="00BA056A"/>
    <w:rsid w:val="00BA05F4"/>
    <w:rsid w:val="00BA4F58"/>
    <w:rsid w:val="00BA758D"/>
    <w:rsid w:val="00BB5283"/>
    <w:rsid w:val="00BC46D3"/>
    <w:rsid w:val="00BC5461"/>
    <w:rsid w:val="00BD5165"/>
    <w:rsid w:val="00BD5489"/>
    <w:rsid w:val="00BE0C23"/>
    <w:rsid w:val="00BE1ACE"/>
    <w:rsid w:val="00BE2A62"/>
    <w:rsid w:val="00BF1473"/>
    <w:rsid w:val="00BF2ABC"/>
    <w:rsid w:val="00BF4102"/>
    <w:rsid w:val="00BF4461"/>
    <w:rsid w:val="00BF62B6"/>
    <w:rsid w:val="00BF753A"/>
    <w:rsid w:val="00C00A8C"/>
    <w:rsid w:val="00C03FFA"/>
    <w:rsid w:val="00C054B0"/>
    <w:rsid w:val="00C07B25"/>
    <w:rsid w:val="00C11821"/>
    <w:rsid w:val="00C147B6"/>
    <w:rsid w:val="00C1506E"/>
    <w:rsid w:val="00C227AE"/>
    <w:rsid w:val="00C22B1D"/>
    <w:rsid w:val="00C30D30"/>
    <w:rsid w:val="00C310AA"/>
    <w:rsid w:val="00C321BC"/>
    <w:rsid w:val="00C3330E"/>
    <w:rsid w:val="00C35E55"/>
    <w:rsid w:val="00C375C8"/>
    <w:rsid w:val="00C413A3"/>
    <w:rsid w:val="00C424F3"/>
    <w:rsid w:val="00C4277A"/>
    <w:rsid w:val="00C43D9C"/>
    <w:rsid w:val="00C45098"/>
    <w:rsid w:val="00C521A0"/>
    <w:rsid w:val="00C52C04"/>
    <w:rsid w:val="00C5467D"/>
    <w:rsid w:val="00C56535"/>
    <w:rsid w:val="00C5671C"/>
    <w:rsid w:val="00C57E3D"/>
    <w:rsid w:val="00C6024B"/>
    <w:rsid w:val="00C735DA"/>
    <w:rsid w:val="00C74876"/>
    <w:rsid w:val="00C74C2A"/>
    <w:rsid w:val="00C761FF"/>
    <w:rsid w:val="00C813C3"/>
    <w:rsid w:val="00C85F8A"/>
    <w:rsid w:val="00C87F7E"/>
    <w:rsid w:val="00C93E4F"/>
    <w:rsid w:val="00C968B3"/>
    <w:rsid w:val="00CA14A7"/>
    <w:rsid w:val="00CA2407"/>
    <w:rsid w:val="00CB3ACF"/>
    <w:rsid w:val="00CB58F6"/>
    <w:rsid w:val="00CB6771"/>
    <w:rsid w:val="00CC138A"/>
    <w:rsid w:val="00CC38C6"/>
    <w:rsid w:val="00CC4E89"/>
    <w:rsid w:val="00CC5DA0"/>
    <w:rsid w:val="00CC5F27"/>
    <w:rsid w:val="00CD1705"/>
    <w:rsid w:val="00CD19C5"/>
    <w:rsid w:val="00CD1A66"/>
    <w:rsid w:val="00CD21BC"/>
    <w:rsid w:val="00CD459E"/>
    <w:rsid w:val="00CD4F6D"/>
    <w:rsid w:val="00CD5845"/>
    <w:rsid w:val="00CD6E95"/>
    <w:rsid w:val="00CD70A0"/>
    <w:rsid w:val="00CD7760"/>
    <w:rsid w:val="00CE159A"/>
    <w:rsid w:val="00CE2AA7"/>
    <w:rsid w:val="00CE6843"/>
    <w:rsid w:val="00CE6DAB"/>
    <w:rsid w:val="00CE7751"/>
    <w:rsid w:val="00CF1286"/>
    <w:rsid w:val="00CF1A28"/>
    <w:rsid w:val="00CF6E07"/>
    <w:rsid w:val="00D000BC"/>
    <w:rsid w:val="00D029CD"/>
    <w:rsid w:val="00D031D4"/>
    <w:rsid w:val="00D0582B"/>
    <w:rsid w:val="00D06B9F"/>
    <w:rsid w:val="00D104EE"/>
    <w:rsid w:val="00D11E18"/>
    <w:rsid w:val="00D12A53"/>
    <w:rsid w:val="00D13F43"/>
    <w:rsid w:val="00D16F63"/>
    <w:rsid w:val="00D26131"/>
    <w:rsid w:val="00D3026A"/>
    <w:rsid w:val="00D33C92"/>
    <w:rsid w:val="00D34080"/>
    <w:rsid w:val="00D34472"/>
    <w:rsid w:val="00D353A4"/>
    <w:rsid w:val="00D37531"/>
    <w:rsid w:val="00D37F94"/>
    <w:rsid w:val="00D411B6"/>
    <w:rsid w:val="00D45C7D"/>
    <w:rsid w:val="00D45CC0"/>
    <w:rsid w:val="00D547FA"/>
    <w:rsid w:val="00D600E7"/>
    <w:rsid w:val="00D606E1"/>
    <w:rsid w:val="00D62A5B"/>
    <w:rsid w:val="00D62FA0"/>
    <w:rsid w:val="00D64E66"/>
    <w:rsid w:val="00D704ED"/>
    <w:rsid w:val="00D73272"/>
    <w:rsid w:val="00D73791"/>
    <w:rsid w:val="00D754D8"/>
    <w:rsid w:val="00D76467"/>
    <w:rsid w:val="00D76E38"/>
    <w:rsid w:val="00D775E4"/>
    <w:rsid w:val="00D84682"/>
    <w:rsid w:val="00D85B1E"/>
    <w:rsid w:val="00D87C42"/>
    <w:rsid w:val="00D91E14"/>
    <w:rsid w:val="00D92223"/>
    <w:rsid w:val="00D93E06"/>
    <w:rsid w:val="00D97870"/>
    <w:rsid w:val="00DA072C"/>
    <w:rsid w:val="00DA506E"/>
    <w:rsid w:val="00DA6092"/>
    <w:rsid w:val="00DA6F8C"/>
    <w:rsid w:val="00DA7233"/>
    <w:rsid w:val="00DB664D"/>
    <w:rsid w:val="00DC1109"/>
    <w:rsid w:val="00DC2BD2"/>
    <w:rsid w:val="00DC36D7"/>
    <w:rsid w:val="00DC6A58"/>
    <w:rsid w:val="00DD05B9"/>
    <w:rsid w:val="00DD17E8"/>
    <w:rsid w:val="00DD584E"/>
    <w:rsid w:val="00DD7A76"/>
    <w:rsid w:val="00DD7CAD"/>
    <w:rsid w:val="00DE02F1"/>
    <w:rsid w:val="00DE05FB"/>
    <w:rsid w:val="00DE0B15"/>
    <w:rsid w:val="00DE3272"/>
    <w:rsid w:val="00DE329E"/>
    <w:rsid w:val="00DE4E6A"/>
    <w:rsid w:val="00DE5773"/>
    <w:rsid w:val="00DF07AF"/>
    <w:rsid w:val="00DF0B38"/>
    <w:rsid w:val="00DF59AD"/>
    <w:rsid w:val="00DF6A91"/>
    <w:rsid w:val="00E01BE7"/>
    <w:rsid w:val="00E044A9"/>
    <w:rsid w:val="00E06251"/>
    <w:rsid w:val="00E0653C"/>
    <w:rsid w:val="00E11F10"/>
    <w:rsid w:val="00E12B83"/>
    <w:rsid w:val="00E13B19"/>
    <w:rsid w:val="00E14131"/>
    <w:rsid w:val="00E23AA5"/>
    <w:rsid w:val="00E26007"/>
    <w:rsid w:val="00E2656C"/>
    <w:rsid w:val="00E346BC"/>
    <w:rsid w:val="00E346E6"/>
    <w:rsid w:val="00E34F09"/>
    <w:rsid w:val="00E41BA2"/>
    <w:rsid w:val="00E41FE9"/>
    <w:rsid w:val="00E426E0"/>
    <w:rsid w:val="00E4413B"/>
    <w:rsid w:val="00E44413"/>
    <w:rsid w:val="00E4449E"/>
    <w:rsid w:val="00E4592D"/>
    <w:rsid w:val="00E51628"/>
    <w:rsid w:val="00E52A3E"/>
    <w:rsid w:val="00E53E1D"/>
    <w:rsid w:val="00E551E3"/>
    <w:rsid w:val="00E6038A"/>
    <w:rsid w:val="00E61281"/>
    <w:rsid w:val="00E63436"/>
    <w:rsid w:val="00E63821"/>
    <w:rsid w:val="00E663C3"/>
    <w:rsid w:val="00E704A2"/>
    <w:rsid w:val="00E7232C"/>
    <w:rsid w:val="00E754BA"/>
    <w:rsid w:val="00E763EB"/>
    <w:rsid w:val="00E7683A"/>
    <w:rsid w:val="00E83E62"/>
    <w:rsid w:val="00E84A41"/>
    <w:rsid w:val="00E91C61"/>
    <w:rsid w:val="00E91ED2"/>
    <w:rsid w:val="00E91F4C"/>
    <w:rsid w:val="00E93B43"/>
    <w:rsid w:val="00E95106"/>
    <w:rsid w:val="00E954FC"/>
    <w:rsid w:val="00E959DA"/>
    <w:rsid w:val="00EA04AA"/>
    <w:rsid w:val="00EA1B17"/>
    <w:rsid w:val="00EA25FD"/>
    <w:rsid w:val="00EA63BC"/>
    <w:rsid w:val="00EA6E75"/>
    <w:rsid w:val="00EB31CB"/>
    <w:rsid w:val="00EB39A1"/>
    <w:rsid w:val="00EC2152"/>
    <w:rsid w:val="00EC65BA"/>
    <w:rsid w:val="00EC6D06"/>
    <w:rsid w:val="00EC7FB0"/>
    <w:rsid w:val="00ED04A8"/>
    <w:rsid w:val="00ED202C"/>
    <w:rsid w:val="00ED2B9B"/>
    <w:rsid w:val="00ED6189"/>
    <w:rsid w:val="00ED6C2C"/>
    <w:rsid w:val="00EE24A2"/>
    <w:rsid w:val="00EE2F8B"/>
    <w:rsid w:val="00EE557B"/>
    <w:rsid w:val="00EF0A38"/>
    <w:rsid w:val="00EF2525"/>
    <w:rsid w:val="00EF2634"/>
    <w:rsid w:val="00EF4C65"/>
    <w:rsid w:val="00EF542F"/>
    <w:rsid w:val="00EF667C"/>
    <w:rsid w:val="00EF6817"/>
    <w:rsid w:val="00F0016F"/>
    <w:rsid w:val="00F066E1"/>
    <w:rsid w:val="00F0745E"/>
    <w:rsid w:val="00F07B61"/>
    <w:rsid w:val="00F10065"/>
    <w:rsid w:val="00F12262"/>
    <w:rsid w:val="00F12ADB"/>
    <w:rsid w:val="00F133B8"/>
    <w:rsid w:val="00F13E08"/>
    <w:rsid w:val="00F16FC3"/>
    <w:rsid w:val="00F21A7C"/>
    <w:rsid w:val="00F22BD5"/>
    <w:rsid w:val="00F23BD8"/>
    <w:rsid w:val="00F323F2"/>
    <w:rsid w:val="00F34478"/>
    <w:rsid w:val="00F34D71"/>
    <w:rsid w:val="00F42538"/>
    <w:rsid w:val="00F44AEF"/>
    <w:rsid w:val="00F45644"/>
    <w:rsid w:val="00F559FF"/>
    <w:rsid w:val="00F5607A"/>
    <w:rsid w:val="00F57E4F"/>
    <w:rsid w:val="00F61F5D"/>
    <w:rsid w:val="00F640FB"/>
    <w:rsid w:val="00F662CB"/>
    <w:rsid w:val="00F67A91"/>
    <w:rsid w:val="00F72E8E"/>
    <w:rsid w:val="00F7313B"/>
    <w:rsid w:val="00F736AC"/>
    <w:rsid w:val="00F747D0"/>
    <w:rsid w:val="00F74E89"/>
    <w:rsid w:val="00F77EC7"/>
    <w:rsid w:val="00F809A8"/>
    <w:rsid w:val="00F80FE6"/>
    <w:rsid w:val="00F82E7C"/>
    <w:rsid w:val="00F85288"/>
    <w:rsid w:val="00F91C71"/>
    <w:rsid w:val="00F9584B"/>
    <w:rsid w:val="00F95A89"/>
    <w:rsid w:val="00F95F57"/>
    <w:rsid w:val="00F96D4B"/>
    <w:rsid w:val="00F9717E"/>
    <w:rsid w:val="00FA3065"/>
    <w:rsid w:val="00FA3210"/>
    <w:rsid w:val="00FA36C9"/>
    <w:rsid w:val="00FA5E23"/>
    <w:rsid w:val="00FA64C1"/>
    <w:rsid w:val="00FB13A9"/>
    <w:rsid w:val="00FB174F"/>
    <w:rsid w:val="00FB2351"/>
    <w:rsid w:val="00FB2497"/>
    <w:rsid w:val="00FB5E1D"/>
    <w:rsid w:val="00FB63A1"/>
    <w:rsid w:val="00FB6649"/>
    <w:rsid w:val="00FB73A7"/>
    <w:rsid w:val="00FB7757"/>
    <w:rsid w:val="00FB7D89"/>
    <w:rsid w:val="00FC1AF5"/>
    <w:rsid w:val="00FD1740"/>
    <w:rsid w:val="00FD1FE3"/>
    <w:rsid w:val="00FD38FC"/>
    <w:rsid w:val="00FD6FC3"/>
    <w:rsid w:val="00FE0F19"/>
    <w:rsid w:val="00FE4363"/>
    <w:rsid w:val="00FF0C76"/>
    <w:rsid w:val="00FF206E"/>
    <w:rsid w:val="00FF3F51"/>
    <w:rsid w:val="00FF5EA1"/>
    <w:rsid w:val="00FF64B1"/>
    <w:rsid w:val="00FF6581"/>
    <w:rsid w:val="00FF747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73"/>
    <o:shapelayout v:ext="edit">
      <o:idmap v:ext="edit" data="1"/>
    </o:shapelayout>
  </w:shapeDefaults>
  <w:decimalSymbol w:val=","/>
  <w:listSeparator w:val=";"/>
  <w14:docId w14:val="2F5A749F"/>
  <w14:defaultImageDpi w14:val="0"/>
  <w15:docId w15:val="{047078D8-9AEC-4355-B2AC-DE96849DB51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1">
    <w:lsdException w:name="Normal" w:qFormat="1"/>
    <w:lsdException w:name="heading 1" w:uiPriority="9" w:qFormat="1"/>
    <w:lsdException w:name="heading 2" w:semiHidden="1" w:uiPriority="9" w:unhideWhenUsed="1" w:qFormat="1"/>
    <w:lsdException w:name="heading 3" w:semiHidden="1" w:unhideWhenUsed="1" w:qFormat="1"/>
    <w:lsdException w:name="heading 4" w:semiHidden="1" w:unhideWhenUsed="1" w:qFormat="1"/>
    <w:lsdException w:name="heading 5" w:semiHidden="1" w:uiPriority="9"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iPriority="99"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iPriority="99" w:unhideWhenUsed="1"/>
    <w:lsdException w:name="endnote reference" w:semiHidden="1" w:uiPriority="99" w:unhideWhenUsed="1"/>
    <w:lsdException w:name="endnote text" w:semiHidden="1" w:uiPriority="99"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99" w:unhideWhenUsed="1" w:qFormat="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iPriority="99" w:unhideWhenUsed="1"/>
    <w:lsdException w:name="Body Text Indent" w:semiHidden="1" w:uiPriority="99"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1">
    <w:name w:val="Normal"/>
    <w:qFormat/>
    <w:rsid w:val="00A26AFB"/>
    <w:pPr>
      <w:spacing w:line="360" w:lineRule="atLeast"/>
      <w:jc w:val="both"/>
    </w:pPr>
    <w:rPr>
      <w:rFonts w:ascii="Times New Roman CYR" w:hAnsi="Times New Roman CYR"/>
      <w:sz w:val="28"/>
    </w:rPr>
  </w:style>
  <w:style w:type="paragraph" w:styleId="10">
    <w:name w:val="heading 1"/>
    <w:basedOn w:val="a1"/>
    <w:next w:val="a1"/>
    <w:link w:val="11"/>
    <w:uiPriority w:val="9"/>
    <w:qFormat/>
    <w:rsid w:val="006928C8"/>
    <w:pPr>
      <w:keepNext/>
      <w:spacing w:before="240" w:after="60"/>
      <w:outlineLvl w:val="0"/>
    </w:pPr>
    <w:rPr>
      <w:rFonts w:asciiTheme="majorHAnsi" w:eastAsiaTheme="majorEastAsia" w:hAnsiTheme="majorHAnsi"/>
      <w:b/>
      <w:bCs/>
      <w:kern w:val="32"/>
      <w:sz w:val="32"/>
      <w:szCs w:val="32"/>
    </w:rPr>
  </w:style>
  <w:style w:type="paragraph" w:styleId="20">
    <w:name w:val="heading 2"/>
    <w:basedOn w:val="a1"/>
    <w:next w:val="a1"/>
    <w:link w:val="21"/>
    <w:uiPriority w:val="9"/>
    <w:unhideWhenUsed/>
    <w:qFormat/>
    <w:rsid w:val="00662809"/>
    <w:pPr>
      <w:keepNext/>
      <w:spacing w:before="240" w:after="60"/>
      <w:outlineLvl w:val="1"/>
    </w:pPr>
    <w:rPr>
      <w:rFonts w:asciiTheme="majorHAnsi" w:eastAsiaTheme="majorEastAsia" w:hAnsiTheme="majorHAnsi"/>
      <w:b/>
      <w:bCs/>
      <w:i/>
      <w:iCs/>
      <w:szCs w:val="28"/>
    </w:rPr>
  </w:style>
  <w:style w:type="paragraph" w:styleId="30">
    <w:name w:val="heading 3"/>
    <w:aliases w:val="Заголовок 3 Знак1,Заголовок 3 Знак Знак"/>
    <w:basedOn w:val="a1"/>
    <w:next w:val="a1"/>
    <w:link w:val="31"/>
    <w:autoRedefine/>
    <w:qFormat/>
    <w:rsid w:val="00543EE4"/>
    <w:pPr>
      <w:spacing w:before="240" w:after="120" w:line="240" w:lineRule="auto"/>
      <w:ind w:left="1204" w:hanging="504"/>
      <w:outlineLvl w:val="2"/>
    </w:pPr>
    <w:rPr>
      <w:rFonts w:ascii="Times New Roman" w:hAnsi="Times New Roman"/>
      <w:i/>
      <w:iCs/>
      <w:caps/>
      <w:sz w:val="26"/>
      <w:szCs w:val="26"/>
    </w:rPr>
  </w:style>
  <w:style w:type="paragraph" w:styleId="40">
    <w:name w:val="heading 4"/>
    <w:basedOn w:val="a1"/>
    <w:next w:val="a1"/>
    <w:link w:val="41"/>
    <w:qFormat/>
    <w:rsid w:val="00543EE4"/>
    <w:pPr>
      <w:shd w:val="clear" w:color="auto" w:fill="FFFFFF"/>
      <w:autoSpaceDE w:val="0"/>
      <w:autoSpaceDN w:val="0"/>
      <w:adjustRightInd w:val="0"/>
      <w:spacing w:line="240" w:lineRule="auto"/>
      <w:ind w:left="2380" w:hanging="680"/>
      <w:outlineLvl w:val="3"/>
    </w:pPr>
    <w:rPr>
      <w:rFonts w:ascii="Times New Roman" w:hAnsi="Times New Roman"/>
      <w:bCs/>
      <w:iCs/>
      <w:sz w:val="26"/>
      <w:szCs w:val="26"/>
    </w:rPr>
  </w:style>
  <w:style w:type="paragraph" w:styleId="5">
    <w:name w:val="heading 5"/>
    <w:basedOn w:val="a1"/>
    <w:next w:val="a1"/>
    <w:link w:val="50"/>
    <w:uiPriority w:val="9"/>
    <w:qFormat/>
    <w:rsid w:val="006928C8"/>
    <w:pPr>
      <w:spacing w:before="240" w:after="60"/>
      <w:outlineLvl w:val="4"/>
    </w:pPr>
    <w:rPr>
      <w:b/>
      <w:bCs/>
      <w:i/>
      <w:iCs/>
      <w:sz w:val="26"/>
      <w:szCs w:val="26"/>
    </w:rPr>
  </w:style>
  <w:style w:type="paragraph" w:styleId="6">
    <w:name w:val="heading 6"/>
    <w:next w:val="a1"/>
    <w:link w:val="60"/>
    <w:qFormat/>
    <w:rsid w:val="00543EE4"/>
    <w:pPr>
      <w:spacing w:before="120"/>
      <w:ind w:left="1077" w:hanging="680"/>
      <w:jc w:val="both"/>
      <w:outlineLvl w:val="5"/>
    </w:pPr>
    <w:rPr>
      <w:b/>
      <w:i/>
      <w:sz w:val="24"/>
      <w:szCs w:val="24"/>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character" w:customStyle="1" w:styleId="11">
    <w:name w:val="Заголовок 1 Знак"/>
    <w:basedOn w:val="a2"/>
    <w:link w:val="10"/>
    <w:uiPriority w:val="9"/>
    <w:locked/>
    <w:rsid w:val="006928C8"/>
    <w:rPr>
      <w:rFonts w:asciiTheme="majorHAnsi" w:eastAsiaTheme="majorEastAsia" w:hAnsiTheme="majorHAnsi" w:cs="Times New Roman"/>
      <w:b/>
      <w:bCs/>
      <w:kern w:val="32"/>
      <w:sz w:val="32"/>
      <w:szCs w:val="32"/>
    </w:rPr>
  </w:style>
  <w:style w:type="character" w:customStyle="1" w:styleId="21">
    <w:name w:val="Заголовок 2 Знак"/>
    <w:basedOn w:val="a2"/>
    <w:link w:val="20"/>
    <w:uiPriority w:val="9"/>
    <w:locked/>
    <w:rsid w:val="00662809"/>
    <w:rPr>
      <w:rFonts w:asciiTheme="majorHAnsi" w:eastAsiaTheme="majorEastAsia" w:hAnsiTheme="majorHAnsi" w:cs="Times New Roman"/>
      <w:b/>
      <w:bCs/>
      <w:i/>
      <w:iCs/>
      <w:sz w:val="28"/>
      <w:szCs w:val="28"/>
    </w:rPr>
  </w:style>
  <w:style w:type="character" w:customStyle="1" w:styleId="50">
    <w:name w:val="Заголовок 5 Знак"/>
    <w:basedOn w:val="a2"/>
    <w:link w:val="5"/>
    <w:uiPriority w:val="9"/>
    <w:locked/>
    <w:rsid w:val="006928C8"/>
    <w:rPr>
      <w:rFonts w:ascii="Times New Roman CYR" w:hAnsi="Times New Roman CYR" w:cs="Times New Roman"/>
      <w:b/>
      <w:bCs/>
      <w:i/>
      <w:iCs/>
      <w:sz w:val="26"/>
      <w:szCs w:val="26"/>
    </w:rPr>
  </w:style>
  <w:style w:type="table" w:styleId="a5">
    <w:name w:val="Table Grid"/>
    <w:basedOn w:val="a3"/>
    <w:rsid w:val="0008224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onsPlusNormal">
    <w:name w:val="ConsPlusNormal"/>
    <w:uiPriority w:val="99"/>
    <w:rsid w:val="00082243"/>
    <w:pPr>
      <w:widowControl w:val="0"/>
      <w:autoSpaceDE w:val="0"/>
      <w:autoSpaceDN w:val="0"/>
      <w:adjustRightInd w:val="0"/>
      <w:ind w:firstLine="720"/>
    </w:pPr>
    <w:rPr>
      <w:rFonts w:ascii="Arial" w:hAnsi="Arial" w:cs="Arial"/>
    </w:rPr>
  </w:style>
  <w:style w:type="paragraph" w:styleId="a6">
    <w:name w:val="Normal (Web)"/>
    <w:basedOn w:val="a1"/>
    <w:uiPriority w:val="99"/>
    <w:rsid w:val="00082243"/>
    <w:pPr>
      <w:spacing w:before="100" w:after="100" w:line="240" w:lineRule="auto"/>
      <w:jc w:val="left"/>
    </w:pPr>
    <w:rPr>
      <w:rFonts w:ascii="Verdana" w:hAnsi="Verdana" w:cs="Verdana"/>
      <w:color w:val="000000"/>
      <w:sz w:val="21"/>
      <w:szCs w:val="21"/>
    </w:rPr>
  </w:style>
  <w:style w:type="character" w:styleId="a7">
    <w:name w:val="Hyperlink"/>
    <w:basedOn w:val="a2"/>
    <w:uiPriority w:val="99"/>
    <w:rsid w:val="0024601A"/>
    <w:rPr>
      <w:rFonts w:cs="Times New Roman"/>
      <w:color w:val="0000FF"/>
      <w:u w:val="single"/>
    </w:rPr>
  </w:style>
  <w:style w:type="paragraph" w:customStyle="1" w:styleId="BodyNum">
    <w:name w:val="Body Num"/>
    <w:basedOn w:val="a1"/>
    <w:uiPriority w:val="99"/>
    <w:rsid w:val="00C85F8A"/>
    <w:pPr>
      <w:spacing w:after="120" w:line="240" w:lineRule="auto"/>
    </w:pPr>
    <w:rPr>
      <w:rFonts w:ascii="Times New Roman" w:hAnsi="Times New Roman"/>
      <w:sz w:val="24"/>
      <w:szCs w:val="24"/>
    </w:rPr>
  </w:style>
  <w:style w:type="paragraph" w:styleId="a8">
    <w:name w:val="Balloon Text"/>
    <w:basedOn w:val="a1"/>
    <w:link w:val="a9"/>
    <w:uiPriority w:val="99"/>
    <w:rsid w:val="005F10CB"/>
    <w:pPr>
      <w:spacing w:line="240" w:lineRule="auto"/>
    </w:pPr>
    <w:rPr>
      <w:rFonts w:ascii="Tahoma" w:hAnsi="Tahoma" w:cs="Tahoma"/>
      <w:sz w:val="16"/>
      <w:szCs w:val="16"/>
    </w:rPr>
  </w:style>
  <w:style w:type="character" w:customStyle="1" w:styleId="a9">
    <w:name w:val="Текст выноски Знак"/>
    <w:basedOn w:val="a2"/>
    <w:link w:val="a8"/>
    <w:uiPriority w:val="99"/>
    <w:locked/>
    <w:rsid w:val="005F10CB"/>
    <w:rPr>
      <w:rFonts w:ascii="Tahoma" w:hAnsi="Tahoma" w:cs="Tahoma"/>
      <w:sz w:val="16"/>
      <w:szCs w:val="16"/>
    </w:rPr>
  </w:style>
  <w:style w:type="paragraph" w:styleId="aa">
    <w:name w:val="header"/>
    <w:basedOn w:val="a1"/>
    <w:link w:val="ab"/>
    <w:uiPriority w:val="99"/>
    <w:rsid w:val="00685E5D"/>
    <w:pPr>
      <w:tabs>
        <w:tab w:val="center" w:pos="4677"/>
        <w:tab w:val="right" w:pos="9355"/>
      </w:tabs>
    </w:pPr>
  </w:style>
  <w:style w:type="character" w:customStyle="1" w:styleId="ab">
    <w:name w:val="Верхний колонтитул Знак"/>
    <w:basedOn w:val="a2"/>
    <w:link w:val="aa"/>
    <w:uiPriority w:val="99"/>
    <w:locked/>
    <w:rsid w:val="00685E5D"/>
    <w:rPr>
      <w:rFonts w:ascii="Times New Roman CYR" w:hAnsi="Times New Roman CYR" w:cs="Times New Roman"/>
      <w:sz w:val="28"/>
    </w:rPr>
  </w:style>
  <w:style w:type="paragraph" w:styleId="ac">
    <w:name w:val="footer"/>
    <w:basedOn w:val="a1"/>
    <w:link w:val="ad"/>
    <w:uiPriority w:val="99"/>
    <w:rsid w:val="00685E5D"/>
    <w:pPr>
      <w:tabs>
        <w:tab w:val="center" w:pos="4677"/>
        <w:tab w:val="right" w:pos="9355"/>
      </w:tabs>
    </w:pPr>
  </w:style>
  <w:style w:type="character" w:customStyle="1" w:styleId="ad">
    <w:name w:val="Нижний колонтитул Знак"/>
    <w:basedOn w:val="a2"/>
    <w:link w:val="ac"/>
    <w:uiPriority w:val="99"/>
    <w:locked/>
    <w:rsid w:val="00685E5D"/>
    <w:rPr>
      <w:rFonts w:ascii="Times New Roman CYR" w:hAnsi="Times New Roman CYR" w:cs="Times New Roman"/>
      <w:sz w:val="28"/>
    </w:rPr>
  </w:style>
  <w:style w:type="paragraph" w:customStyle="1" w:styleId="ConsNormal">
    <w:name w:val="ConsNormal"/>
    <w:uiPriority w:val="99"/>
    <w:rsid w:val="00662809"/>
    <w:pPr>
      <w:widowControl w:val="0"/>
      <w:ind w:firstLine="720"/>
    </w:pPr>
    <w:rPr>
      <w:rFonts w:ascii="Arial" w:hAnsi="Arial" w:cs="Arial"/>
    </w:rPr>
  </w:style>
  <w:style w:type="paragraph" w:customStyle="1" w:styleId="ConsNonformat">
    <w:name w:val="ConsNonformat"/>
    <w:uiPriority w:val="99"/>
    <w:rsid w:val="00662809"/>
    <w:pPr>
      <w:widowControl w:val="0"/>
    </w:pPr>
    <w:rPr>
      <w:rFonts w:ascii="Courier New" w:hAnsi="Courier New" w:cs="Courier New"/>
    </w:rPr>
  </w:style>
  <w:style w:type="paragraph" w:styleId="ae">
    <w:name w:val="annotation text"/>
    <w:basedOn w:val="a1"/>
    <w:link w:val="af"/>
    <w:uiPriority w:val="99"/>
    <w:rsid w:val="00662809"/>
    <w:pPr>
      <w:spacing w:line="240" w:lineRule="auto"/>
      <w:jc w:val="left"/>
    </w:pPr>
    <w:rPr>
      <w:rFonts w:ascii="Times New Roman" w:hAnsi="Times New Roman"/>
      <w:sz w:val="20"/>
      <w:szCs w:val="24"/>
    </w:rPr>
  </w:style>
  <w:style w:type="character" w:customStyle="1" w:styleId="af">
    <w:name w:val="Текст примечания Знак"/>
    <w:basedOn w:val="a2"/>
    <w:link w:val="ae"/>
    <w:uiPriority w:val="99"/>
    <w:locked/>
    <w:rsid w:val="00662809"/>
    <w:rPr>
      <w:rFonts w:cs="Times New Roman"/>
      <w:sz w:val="24"/>
      <w:szCs w:val="24"/>
    </w:rPr>
  </w:style>
  <w:style w:type="paragraph" w:customStyle="1" w:styleId="H4">
    <w:name w:val="H4"/>
    <w:basedOn w:val="a1"/>
    <w:next w:val="a1"/>
    <w:uiPriority w:val="99"/>
    <w:rsid w:val="00662809"/>
    <w:pPr>
      <w:keepNext/>
      <w:spacing w:before="100" w:after="100" w:line="240" w:lineRule="auto"/>
      <w:jc w:val="left"/>
      <w:outlineLvl w:val="4"/>
    </w:pPr>
    <w:rPr>
      <w:rFonts w:ascii="Times New Roman" w:hAnsi="Times New Roman"/>
      <w:b/>
      <w:bCs/>
      <w:sz w:val="24"/>
      <w:szCs w:val="24"/>
      <w:lang w:eastAsia="en-US"/>
    </w:rPr>
  </w:style>
  <w:style w:type="character" w:styleId="af0">
    <w:name w:val="annotation reference"/>
    <w:basedOn w:val="a2"/>
    <w:uiPriority w:val="99"/>
    <w:unhideWhenUsed/>
    <w:rsid w:val="00662809"/>
    <w:rPr>
      <w:rFonts w:cs="Times New Roman"/>
      <w:sz w:val="16"/>
      <w:szCs w:val="16"/>
    </w:rPr>
  </w:style>
  <w:style w:type="paragraph" w:styleId="af1">
    <w:name w:val="annotation subject"/>
    <w:basedOn w:val="ae"/>
    <w:next w:val="ae"/>
    <w:link w:val="af2"/>
    <w:uiPriority w:val="99"/>
    <w:unhideWhenUsed/>
    <w:rsid w:val="00662809"/>
    <w:rPr>
      <w:b/>
      <w:bCs/>
      <w:szCs w:val="20"/>
    </w:rPr>
  </w:style>
  <w:style w:type="character" w:customStyle="1" w:styleId="af2">
    <w:name w:val="Тема примечания Знак"/>
    <w:basedOn w:val="af"/>
    <w:link w:val="af1"/>
    <w:uiPriority w:val="99"/>
    <w:locked/>
    <w:rsid w:val="00662809"/>
    <w:rPr>
      <w:rFonts w:cs="Times New Roman"/>
      <w:b/>
      <w:bCs/>
      <w:sz w:val="24"/>
      <w:szCs w:val="24"/>
    </w:rPr>
  </w:style>
  <w:style w:type="paragraph" w:styleId="af3">
    <w:name w:val="Revision"/>
    <w:hidden/>
    <w:uiPriority w:val="99"/>
    <w:semiHidden/>
    <w:rsid w:val="00662809"/>
    <w:rPr>
      <w:sz w:val="24"/>
      <w:szCs w:val="24"/>
    </w:rPr>
  </w:style>
  <w:style w:type="paragraph" w:customStyle="1" w:styleId="ConsPlusNonformat">
    <w:name w:val="ConsPlusNonformat"/>
    <w:uiPriority w:val="99"/>
    <w:rsid w:val="005A5E8A"/>
    <w:pPr>
      <w:widowControl w:val="0"/>
      <w:autoSpaceDE w:val="0"/>
      <w:autoSpaceDN w:val="0"/>
      <w:adjustRightInd w:val="0"/>
    </w:pPr>
    <w:rPr>
      <w:rFonts w:ascii="Courier New" w:hAnsi="Courier New" w:cs="Courier New"/>
    </w:rPr>
  </w:style>
  <w:style w:type="paragraph" w:customStyle="1" w:styleId="ConsPlusTitle">
    <w:name w:val="ConsPlusTitle"/>
    <w:uiPriority w:val="99"/>
    <w:rsid w:val="005A5E8A"/>
    <w:pPr>
      <w:widowControl w:val="0"/>
      <w:autoSpaceDE w:val="0"/>
      <w:autoSpaceDN w:val="0"/>
      <w:adjustRightInd w:val="0"/>
    </w:pPr>
    <w:rPr>
      <w:b/>
      <w:bCs/>
      <w:sz w:val="24"/>
      <w:szCs w:val="24"/>
    </w:rPr>
  </w:style>
  <w:style w:type="paragraph" w:styleId="af4">
    <w:name w:val="Body Text Indent"/>
    <w:basedOn w:val="a1"/>
    <w:link w:val="af5"/>
    <w:uiPriority w:val="99"/>
    <w:rsid w:val="005A5E8A"/>
    <w:pPr>
      <w:spacing w:line="240" w:lineRule="auto"/>
      <w:ind w:left="375"/>
    </w:pPr>
    <w:rPr>
      <w:rFonts w:ascii="Arial" w:hAnsi="Arial"/>
      <w:sz w:val="20"/>
      <w:szCs w:val="24"/>
    </w:rPr>
  </w:style>
  <w:style w:type="character" w:customStyle="1" w:styleId="af5">
    <w:name w:val="Основной текст с отступом Знак"/>
    <w:basedOn w:val="a2"/>
    <w:link w:val="af4"/>
    <w:uiPriority w:val="99"/>
    <w:locked/>
    <w:rsid w:val="005A5E8A"/>
    <w:rPr>
      <w:rFonts w:ascii="Arial" w:hAnsi="Arial" w:cs="Times New Roman"/>
      <w:sz w:val="24"/>
      <w:szCs w:val="24"/>
    </w:rPr>
  </w:style>
  <w:style w:type="character" w:styleId="af6">
    <w:name w:val="page number"/>
    <w:basedOn w:val="a2"/>
    <w:uiPriority w:val="99"/>
    <w:rsid w:val="005A5E8A"/>
    <w:rPr>
      <w:rFonts w:cs="Times New Roman"/>
    </w:rPr>
  </w:style>
  <w:style w:type="character" w:styleId="af7">
    <w:name w:val="FollowedHyperlink"/>
    <w:basedOn w:val="a2"/>
    <w:uiPriority w:val="99"/>
    <w:unhideWhenUsed/>
    <w:rsid w:val="005A5E8A"/>
    <w:rPr>
      <w:rFonts w:cs="Times New Roman"/>
      <w:color w:val="800080"/>
      <w:u w:val="single"/>
    </w:rPr>
  </w:style>
  <w:style w:type="paragraph" w:styleId="af8">
    <w:name w:val="Body Text"/>
    <w:basedOn w:val="a1"/>
    <w:link w:val="af9"/>
    <w:uiPriority w:val="99"/>
    <w:unhideWhenUsed/>
    <w:rsid w:val="005A5E8A"/>
    <w:pPr>
      <w:spacing w:line="240" w:lineRule="auto"/>
    </w:pPr>
    <w:rPr>
      <w:rFonts w:ascii="Times New Roman" w:hAnsi="Times New Roman"/>
      <w:sz w:val="22"/>
    </w:rPr>
  </w:style>
  <w:style w:type="character" w:customStyle="1" w:styleId="af9">
    <w:name w:val="Основной текст Знак"/>
    <w:basedOn w:val="a2"/>
    <w:link w:val="af8"/>
    <w:uiPriority w:val="99"/>
    <w:locked/>
    <w:rsid w:val="005A5E8A"/>
    <w:rPr>
      <w:rFonts w:cs="Times New Roman"/>
      <w:sz w:val="22"/>
    </w:rPr>
  </w:style>
  <w:style w:type="paragraph" w:customStyle="1" w:styleId="afa">
    <w:name w:val="Текстовый"/>
    <w:link w:val="afb"/>
    <w:uiPriority w:val="99"/>
    <w:rsid w:val="008F177D"/>
    <w:pPr>
      <w:widowControl w:val="0"/>
      <w:jc w:val="both"/>
    </w:pPr>
    <w:rPr>
      <w:rFonts w:ascii="Arial" w:hAnsi="Arial"/>
    </w:rPr>
  </w:style>
  <w:style w:type="character" w:customStyle="1" w:styleId="afb">
    <w:name w:val="Текстовый Знак"/>
    <w:basedOn w:val="a2"/>
    <w:link w:val="afa"/>
    <w:uiPriority w:val="99"/>
    <w:locked/>
    <w:rsid w:val="008F177D"/>
    <w:rPr>
      <w:rFonts w:ascii="Arial" w:hAnsi="Arial" w:cs="Times New Roman"/>
    </w:rPr>
  </w:style>
  <w:style w:type="paragraph" w:customStyle="1" w:styleId="12">
    <w:name w:val="Абзац списка1"/>
    <w:basedOn w:val="a1"/>
    <w:uiPriority w:val="99"/>
    <w:rsid w:val="0093588D"/>
    <w:pPr>
      <w:spacing w:line="240" w:lineRule="auto"/>
      <w:ind w:left="720"/>
      <w:jc w:val="left"/>
    </w:pPr>
    <w:rPr>
      <w:rFonts w:ascii="Times New Roman" w:hAnsi="Times New Roman"/>
      <w:sz w:val="24"/>
    </w:rPr>
  </w:style>
  <w:style w:type="paragraph" w:styleId="afc">
    <w:name w:val="List Paragraph"/>
    <w:basedOn w:val="a1"/>
    <w:link w:val="afd"/>
    <w:uiPriority w:val="34"/>
    <w:qFormat/>
    <w:rsid w:val="0093588D"/>
    <w:pPr>
      <w:spacing w:after="200" w:line="276" w:lineRule="auto"/>
      <w:ind w:left="720"/>
      <w:contextualSpacing/>
      <w:jc w:val="left"/>
    </w:pPr>
    <w:rPr>
      <w:rFonts w:ascii="Calibri" w:hAnsi="Calibri"/>
      <w:sz w:val="22"/>
      <w:szCs w:val="22"/>
      <w:lang w:eastAsia="en-US"/>
    </w:rPr>
  </w:style>
  <w:style w:type="character" w:customStyle="1" w:styleId="afd">
    <w:name w:val="Абзац списка Знак"/>
    <w:link w:val="afc"/>
    <w:uiPriority w:val="34"/>
    <w:locked/>
    <w:rsid w:val="0093588D"/>
    <w:rPr>
      <w:rFonts w:ascii="Calibri" w:hAnsi="Calibri"/>
      <w:sz w:val="22"/>
      <w:lang w:val="x-none" w:eastAsia="en-US"/>
    </w:rPr>
  </w:style>
  <w:style w:type="paragraph" w:customStyle="1" w:styleId="13">
    <w:name w:val="1"/>
    <w:basedOn w:val="a1"/>
    <w:uiPriority w:val="99"/>
    <w:rsid w:val="00085998"/>
    <w:pPr>
      <w:spacing w:line="240" w:lineRule="auto"/>
      <w:jc w:val="left"/>
    </w:pPr>
    <w:rPr>
      <w:rFonts w:ascii="Times New Roman" w:hAnsi="Times New Roman"/>
      <w:sz w:val="24"/>
      <w:szCs w:val="24"/>
    </w:rPr>
  </w:style>
  <w:style w:type="character" w:styleId="afe">
    <w:name w:val="Placeholder Text"/>
    <w:basedOn w:val="a2"/>
    <w:uiPriority w:val="99"/>
    <w:semiHidden/>
    <w:rsid w:val="00926BA7"/>
    <w:rPr>
      <w:color w:val="808080"/>
    </w:rPr>
  </w:style>
  <w:style w:type="paragraph" w:customStyle="1" w:styleId="22">
    <w:name w:val="Абзац списка2"/>
    <w:basedOn w:val="a1"/>
    <w:uiPriority w:val="99"/>
    <w:rsid w:val="00CF6E07"/>
    <w:pPr>
      <w:suppressAutoHyphens/>
      <w:spacing w:after="200" w:line="276" w:lineRule="auto"/>
      <w:ind w:left="720"/>
      <w:contextualSpacing/>
      <w:jc w:val="left"/>
    </w:pPr>
    <w:rPr>
      <w:rFonts w:ascii="Calibri" w:eastAsia="Calibri" w:hAnsi="Calibri"/>
      <w:kern w:val="1"/>
      <w:sz w:val="22"/>
      <w:szCs w:val="22"/>
      <w:lang w:eastAsia="en-US"/>
    </w:rPr>
  </w:style>
  <w:style w:type="paragraph" w:customStyle="1" w:styleId="32">
    <w:name w:val="Абзац списка3"/>
    <w:basedOn w:val="a1"/>
    <w:uiPriority w:val="99"/>
    <w:rsid w:val="00F10065"/>
    <w:pPr>
      <w:suppressAutoHyphens/>
      <w:spacing w:after="200" w:line="276" w:lineRule="auto"/>
      <w:ind w:left="720"/>
      <w:contextualSpacing/>
      <w:jc w:val="left"/>
    </w:pPr>
    <w:rPr>
      <w:rFonts w:ascii="Calibri" w:eastAsia="Calibri" w:hAnsi="Calibri"/>
      <w:kern w:val="1"/>
      <w:sz w:val="22"/>
      <w:szCs w:val="22"/>
      <w:lang w:eastAsia="en-US"/>
    </w:rPr>
  </w:style>
  <w:style w:type="paragraph" w:customStyle="1" w:styleId="1">
    <w:name w:val="Раздел 1"/>
    <w:basedOn w:val="afc"/>
    <w:link w:val="110"/>
    <w:uiPriority w:val="99"/>
    <w:qFormat/>
    <w:rsid w:val="0062084E"/>
    <w:pPr>
      <w:keepNext/>
      <w:numPr>
        <w:ilvl w:val="1"/>
        <w:numId w:val="1"/>
      </w:numPr>
      <w:spacing w:before="240" w:after="0" w:line="240" w:lineRule="auto"/>
      <w:jc w:val="both"/>
    </w:pPr>
    <w:rPr>
      <w:rFonts w:ascii="Times New Roman" w:eastAsia="Calibri" w:hAnsi="Times New Roman"/>
      <w:b/>
      <w:sz w:val="20"/>
      <w:szCs w:val="20"/>
    </w:rPr>
  </w:style>
  <w:style w:type="paragraph" w:customStyle="1" w:styleId="a">
    <w:name w:val="Часть"/>
    <w:basedOn w:val="a1"/>
    <w:link w:val="aff"/>
    <w:uiPriority w:val="99"/>
    <w:qFormat/>
    <w:rsid w:val="0062084E"/>
    <w:pPr>
      <w:keepNext/>
      <w:widowControl w:val="0"/>
      <w:numPr>
        <w:numId w:val="1"/>
      </w:numPr>
      <w:spacing w:before="360" w:after="120" w:line="240" w:lineRule="auto"/>
      <w:jc w:val="center"/>
    </w:pPr>
    <w:rPr>
      <w:rFonts w:ascii="Times New Roman" w:eastAsia="Calibri" w:hAnsi="Times New Roman"/>
      <w:b/>
      <w:bCs/>
      <w:sz w:val="24"/>
      <w:szCs w:val="22"/>
      <w:lang w:eastAsia="en-US"/>
    </w:rPr>
  </w:style>
  <w:style w:type="paragraph" w:customStyle="1" w:styleId="2">
    <w:name w:val="Раздел 2"/>
    <w:basedOn w:val="1"/>
    <w:uiPriority w:val="99"/>
    <w:qFormat/>
    <w:rsid w:val="0062084E"/>
    <w:pPr>
      <w:numPr>
        <w:ilvl w:val="2"/>
      </w:numPr>
      <w:spacing w:before="120"/>
    </w:pPr>
  </w:style>
  <w:style w:type="paragraph" w:customStyle="1" w:styleId="3">
    <w:name w:val="Раздел 3"/>
    <w:basedOn w:val="2"/>
    <w:uiPriority w:val="99"/>
    <w:qFormat/>
    <w:rsid w:val="0062084E"/>
    <w:pPr>
      <w:numPr>
        <w:ilvl w:val="3"/>
      </w:numPr>
    </w:pPr>
  </w:style>
  <w:style w:type="paragraph" w:customStyle="1" w:styleId="4">
    <w:name w:val="Раздел 4"/>
    <w:basedOn w:val="3"/>
    <w:uiPriority w:val="99"/>
    <w:qFormat/>
    <w:rsid w:val="0062084E"/>
    <w:pPr>
      <w:numPr>
        <w:ilvl w:val="4"/>
      </w:numPr>
    </w:pPr>
    <w:rPr>
      <w:i/>
    </w:rPr>
  </w:style>
  <w:style w:type="character" w:customStyle="1" w:styleId="aff">
    <w:name w:val="Часть Знак"/>
    <w:link w:val="a"/>
    <w:uiPriority w:val="99"/>
    <w:rsid w:val="0062084E"/>
    <w:rPr>
      <w:rFonts w:eastAsia="Calibri"/>
      <w:b/>
      <w:bCs/>
      <w:sz w:val="24"/>
      <w:szCs w:val="22"/>
      <w:lang w:eastAsia="en-US"/>
    </w:rPr>
  </w:style>
  <w:style w:type="character" w:customStyle="1" w:styleId="110">
    <w:name w:val="Раздел 1 Знак1"/>
    <w:link w:val="1"/>
    <w:uiPriority w:val="99"/>
    <w:rsid w:val="005B708C"/>
    <w:rPr>
      <w:rFonts w:eastAsia="Calibri"/>
      <w:b/>
      <w:lang w:eastAsia="en-US"/>
    </w:rPr>
  </w:style>
  <w:style w:type="paragraph" w:styleId="aff0">
    <w:name w:val="endnote text"/>
    <w:basedOn w:val="a1"/>
    <w:link w:val="aff1"/>
    <w:uiPriority w:val="99"/>
    <w:semiHidden/>
    <w:unhideWhenUsed/>
    <w:rsid w:val="005B708C"/>
    <w:pPr>
      <w:spacing w:line="240" w:lineRule="auto"/>
      <w:jc w:val="left"/>
    </w:pPr>
    <w:rPr>
      <w:rFonts w:ascii="Times New Roman" w:hAnsi="Times New Roman"/>
      <w:sz w:val="20"/>
    </w:rPr>
  </w:style>
  <w:style w:type="character" w:customStyle="1" w:styleId="aff1">
    <w:name w:val="Текст концевой сноски Знак"/>
    <w:basedOn w:val="a2"/>
    <w:link w:val="aff0"/>
    <w:uiPriority w:val="99"/>
    <w:semiHidden/>
    <w:rsid w:val="005B708C"/>
  </w:style>
  <w:style w:type="character" w:styleId="aff2">
    <w:name w:val="endnote reference"/>
    <w:uiPriority w:val="99"/>
    <w:semiHidden/>
    <w:unhideWhenUsed/>
    <w:rsid w:val="005B708C"/>
    <w:rPr>
      <w:vertAlign w:val="superscript"/>
    </w:rPr>
  </w:style>
  <w:style w:type="character" w:customStyle="1" w:styleId="31">
    <w:name w:val="Заголовок 3 Знак"/>
    <w:aliases w:val="Заголовок 3 Знак1 Знак,Заголовок 3 Знак Знак Знак"/>
    <w:basedOn w:val="a2"/>
    <w:link w:val="30"/>
    <w:rsid w:val="00543EE4"/>
    <w:rPr>
      <w:i/>
      <w:iCs/>
      <w:caps/>
      <w:sz w:val="26"/>
      <w:szCs w:val="26"/>
    </w:rPr>
  </w:style>
  <w:style w:type="character" w:customStyle="1" w:styleId="41">
    <w:name w:val="Заголовок 4 Знак"/>
    <w:basedOn w:val="a2"/>
    <w:link w:val="40"/>
    <w:rsid w:val="00543EE4"/>
    <w:rPr>
      <w:bCs/>
      <w:iCs/>
      <w:sz w:val="26"/>
      <w:szCs w:val="26"/>
      <w:shd w:val="clear" w:color="auto" w:fill="FFFFFF"/>
    </w:rPr>
  </w:style>
  <w:style w:type="character" w:customStyle="1" w:styleId="60">
    <w:name w:val="Заголовок 6 Знак"/>
    <w:basedOn w:val="a2"/>
    <w:link w:val="6"/>
    <w:rsid w:val="00543EE4"/>
    <w:rPr>
      <w:b/>
      <w:i/>
      <w:sz w:val="24"/>
      <w:szCs w:val="24"/>
    </w:rPr>
  </w:style>
  <w:style w:type="numbering" w:customStyle="1" w:styleId="14">
    <w:name w:val="Нет списка1"/>
    <w:next w:val="a4"/>
    <w:uiPriority w:val="99"/>
    <w:semiHidden/>
    <w:unhideWhenUsed/>
    <w:rsid w:val="00543EE4"/>
  </w:style>
  <w:style w:type="paragraph" w:styleId="a0">
    <w:name w:val="List Bullet"/>
    <w:basedOn w:val="a1"/>
    <w:uiPriority w:val="99"/>
    <w:unhideWhenUsed/>
    <w:qFormat/>
    <w:rsid w:val="00907FD9"/>
    <w:pPr>
      <w:numPr>
        <w:numId w:val="3"/>
      </w:numPr>
      <w:autoSpaceDE w:val="0"/>
      <w:autoSpaceDN w:val="0"/>
      <w:adjustRightInd w:val="0"/>
      <w:spacing w:before="60" w:line="240" w:lineRule="auto"/>
      <w:ind w:left="0" w:firstLine="709"/>
      <w:contextualSpacing/>
    </w:pPr>
    <w:rPr>
      <w:rFonts w:ascii="Times New Roman" w:eastAsia="Calibri" w:hAnsi="Times New Roman"/>
      <w:sz w:val="20"/>
      <w:szCs w:val="22"/>
      <w:lang w:eastAsia="en-US"/>
    </w:rPr>
  </w:style>
  <w:style w:type="character" w:customStyle="1" w:styleId="320">
    <w:name w:val="Заголовок 3 Знак2"/>
    <w:aliases w:val="Заголовок 3 Знак1 Знак1,Заголовок 3 Знак Знак Знак1"/>
    <w:basedOn w:val="a2"/>
    <w:semiHidden/>
    <w:rsid w:val="000C1E0E"/>
    <w:rPr>
      <w:rFonts w:asciiTheme="majorHAnsi" w:eastAsiaTheme="majorEastAsia" w:hAnsiTheme="majorHAnsi" w:cstheme="majorBidi"/>
      <w:b/>
      <w:bCs/>
      <w:color w:val="4F81BD" w:themeColor="accent1"/>
      <w:sz w:val="28"/>
    </w:rPr>
  </w:style>
  <w:style w:type="paragraph" w:customStyle="1" w:styleId="Default">
    <w:name w:val="Default"/>
    <w:rsid w:val="004D61AC"/>
    <w:pPr>
      <w:autoSpaceDE w:val="0"/>
      <w:autoSpaceDN w:val="0"/>
      <w:adjustRightInd w:val="0"/>
    </w:pPr>
    <w:rPr>
      <w:color w:val="000000"/>
      <w:sz w:val="24"/>
      <w:szCs w:val="24"/>
    </w:rPr>
  </w:style>
  <w:style w:type="paragraph" w:styleId="aff3">
    <w:name w:val="footnote text"/>
    <w:basedOn w:val="a1"/>
    <w:link w:val="aff4"/>
    <w:uiPriority w:val="99"/>
    <w:unhideWhenUsed/>
    <w:rsid w:val="002D3D3B"/>
    <w:pPr>
      <w:spacing w:line="240" w:lineRule="auto"/>
    </w:pPr>
    <w:rPr>
      <w:sz w:val="20"/>
    </w:rPr>
  </w:style>
  <w:style w:type="character" w:customStyle="1" w:styleId="aff4">
    <w:name w:val="Текст сноски Знак"/>
    <w:basedOn w:val="a2"/>
    <w:link w:val="aff3"/>
    <w:uiPriority w:val="99"/>
    <w:rsid w:val="002D3D3B"/>
    <w:rPr>
      <w:rFonts w:ascii="Times New Roman CYR" w:hAnsi="Times New Roman CYR"/>
    </w:rPr>
  </w:style>
  <w:style w:type="character" w:styleId="aff5">
    <w:name w:val="footnote reference"/>
    <w:basedOn w:val="a2"/>
    <w:semiHidden/>
    <w:unhideWhenUsed/>
    <w:rsid w:val="002D3D3B"/>
    <w:rPr>
      <w:vertAlign w:val="superscript"/>
    </w:rPr>
  </w:style>
  <w:style w:type="paragraph" w:styleId="aff6">
    <w:name w:val="Subtitle"/>
    <w:basedOn w:val="a1"/>
    <w:link w:val="aff7"/>
    <w:qFormat/>
    <w:rsid w:val="002D3D3B"/>
    <w:pPr>
      <w:keepNext/>
      <w:keepLines/>
      <w:widowControl w:val="0"/>
      <w:tabs>
        <w:tab w:val="left" w:pos="0"/>
      </w:tabs>
      <w:autoSpaceDE w:val="0"/>
      <w:autoSpaceDN w:val="0"/>
      <w:adjustRightInd w:val="0"/>
      <w:spacing w:before="120" w:after="120" w:line="240" w:lineRule="auto"/>
      <w:ind w:firstLine="709"/>
      <w:jc w:val="left"/>
      <w:outlineLvl w:val="1"/>
    </w:pPr>
    <w:rPr>
      <w:rFonts w:ascii="Times New Roman" w:hAnsi="Times New Roman"/>
      <w:b/>
      <w:sz w:val="22"/>
      <w:szCs w:val="24"/>
    </w:rPr>
  </w:style>
  <w:style w:type="character" w:customStyle="1" w:styleId="aff7">
    <w:name w:val="Подзаголовок Знак"/>
    <w:basedOn w:val="a2"/>
    <w:link w:val="aff6"/>
    <w:rsid w:val="002D3D3B"/>
    <w:rPr>
      <w:b/>
      <w:sz w:val="22"/>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55849671">
      <w:bodyDiv w:val="1"/>
      <w:marLeft w:val="0"/>
      <w:marRight w:val="0"/>
      <w:marTop w:val="0"/>
      <w:marBottom w:val="0"/>
      <w:divBdr>
        <w:top w:val="none" w:sz="0" w:space="0" w:color="auto"/>
        <w:left w:val="none" w:sz="0" w:space="0" w:color="auto"/>
        <w:bottom w:val="none" w:sz="0" w:space="0" w:color="auto"/>
        <w:right w:val="none" w:sz="0" w:space="0" w:color="auto"/>
      </w:divBdr>
    </w:div>
    <w:div w:id="350574094">
      <w:bodyDiv w:val="1"/>
      <w:marLeft w:val="0"/>
      <w:marRight w:val="0"/>
      <w:marTop w:val="0"/>
      <w:marBottom w:val="0"/>
      <w:divBdr>
        <w:top w:val="none" w:sz="0" w:space="0" w:color="auto"/>
        <w:left w:val="none" w:sz="0" w:space="0" w:color="auto"/>
        <w:bottom w:val="none" w:sz="0" w:space="0" w:color="auto"/>
        <w:right w:val="none" w:sz="0" w:space="0" w:color="auto"/>
      </w:divBdr>
    </w:div>
    <w:div w:id="365759917">
      <w:marLeft w:val="0"/>
      <w:marRight w:val="0"/>
      <w:marTop w:val="0"/>
      <w:marBottom w:val="0"/>
      <w:divBdr>
        <w:top w:val="none" w:sz="0" w:space="0" w:color="auto"/>
        <w:left w:val="none" w:sz="0" w:space="0" w:color="auto"/>
        <w:bottom w:val="none" w:sz="0" w:space="0" w:color="auto"/>
        <w:right w:val="none" w:sz="0" w:space="0" w:color="auto"/>
      </w:divBdr>
    </w:div>
    <w:div w:id="631055349">
      <w:bodyDiv w:val="1"/>
      <w:marLeft w:val="0"/>
      <w:marRight w:val="0"/>
      <w:marTop w:val="0"/>
      <w:marBottom w:val="0"/>
      <w:divBdr>
        <w:top w:val="none" w:sz="0" w:space="0" w:color="auto"/>
        <w:left w:val="none" w:sz="0" w:space="0" w:color="auto"/>
        <w:bottom w:val="none" w:sz="0" w:space="0" w:color="auto"/>
        <w:right w:val="none" w:sz="0" w:space="0" w:color="auto"/>
      </w:divBdr>
    </w:div>
    <w:div w:id="696466287">
      <w:bodyDiv w:val="1"/>
      <w:marLeft w:val="0"/>
      <w:marRight w:val="0"/>
      <w:marTop w:val="0"/>
      <w:marBottom w:val="0"/>
      <w:divBdr>
        <w:top w:val="none" w:sz="0" w:space="0" w:color="auto"/>
        <w:left w:val="none" w:sz="0" w:space="0" w:color="auto"/>
        <w:bottom w:val="none" w:sz="0" w:space="0" w:color="auto"/>
        <w:right w:val="none" w:sz="0" w:space="0" w:color="auto"/>
      </w:divBdr>
    </w:div>
    <w:div w:id="749274412">
      <w:bodyDiv w:val="1"/>
      <w:marLeft w:val="0"/>
      <w:marRight w:val="0"/>
      <w:marTop w:val="0"/>
      <w:marBottom w:val="0"/>
      <w:divBdr>
        <w:top w:val="none" w:sz="0" w:space="0" w:color="auto"/>
        <w:left w:val="none" w:sz="0" w:space="0" w:color="auto"/>
        <w:bottom w:val="none" w:sz="0" w:space="0" w:color="auto"/>
        <w:right w:val="none" w:sz="0" w:space="0" w:color="auto"/>
      </w:divBdr>
    </w:div>
    <w:div w:id="789667596">
      <w:bodyDiv w:val="1"/>
      <w:marLeft w:val="0"/>
      <w:marRight w:val="0"/>
      <w:marTop w:val="0"/>
      <w:marBottom w:val="0"/>
      <w:divBdr>
        <w:top w:val="none" w:sz="0" w:space="0" w:color="auto"/>
        <w:left w:val="none" w:sz="0" w:space="0" w:color="auto"/>
        <w:bottom w:val="none" w:sz="0" w:space="0" w:color="auto"/>
        <w:right w:val="none" w:sz="0" w:space="0" w:color="auto"/>
      </w:divBdr>
    </w:div>
    <w:div w:id="949969263">
      <w:bodyDiv w:val="1"/>
      <w:marLeft w:val="0"/>
      <w:marRight w:val="0"/>
      <w:marTop w:val="0"/>
      <w:marBottom w:val="0"/>
      <w:divBdr>
        <w:top w:val="none" w:sz="0" w:space="0" w:color="auto"/>
        <w:left w:val="none" w:sz="0" w:space="0" w:color="auto"/>
        <w:bottom w:val="none" w:sz="0" w:space="0" w:color="auto"/>
        <w:right w:val="none" w:sz="0" w:space="0" w:color="auto"/>
      </w:divBdr>
    </w:div>
    <w:div w:id="1193299761">
      <w:bodyDiv w:val="1"/>
      <w:marLeft w:val="0"/>
      <w:marRight w:val="0"/>
      <w:marTop w:val="0"/>
      <w:marBottom w:val="0"/>
      <w:divBdr>
        <w:top w:val="none" w:sz="0" w:space="0" w:color="auto"/>
        <w:left w:val="none" w:sz="0" w:space="0" w:color="auto"/>
        <w:bottom w:val="none" w:sz="0" w:space="0" w:color="auto"/>
        <w:right w:val="none" w:sz="0" w:space="0" w:color="auto"/>
      </w:divBdr>
    </w:div>
    <w:div w:id="1548102231">
      <w:bodyDiv w:val="1"/>
      <w:marLeft w:val="0"/>
      <w:marRight w:val="0"/>
      <w:marTop w:val="0"/>
      <w:marBottom w:val="0"/>
      <w:divBdr>
        <w:top w:val="none" w:sz="0" w:space="0" w:color="auto"/>
        <w:left w:val="none" w:sz="0" w:space="0" w:color="auto"/>
        <w:bottom w:val="none" w:sz="0" w:space="0" w:color="auto"/>
        <w:right w:val="none" w:sz="0" w:space="0" w:color="auto"/>
      </w:divBdr>
    </w:div>
    <w:div w:id="1638104523">
      <w:bodyDiv w:val="1"/>
      <w:marLeft w:val="0"/>
      <w:marRight w:val="0"/>
      <w:marTop w:val="0"/>
      <w:marBottom w:val="0"/>
      <w:divBdr>
        <w:top w:val="none" w:sz="0" w:space="0" w:color="auto"/>
        <w:left w:val="none" w:sz="0" w:space="0" w:color="auto"/>
        <w:bottom w:val="none" w:sz="0" w:space="0" w:color="auto"/>
        <w:right w:val="none" w:sz="0" w:space="0" w:color="auto"/>
      </w:divBdr>
    </w:div>
    <w:div w:id="1774403000">
      <w:bodyDiv w:val="1"/>
      <w:marLeft w:val="0"/>
      <w:marRight w:val="0"/>
      <w:marTop w:val="0"/>
      <w:marBottom w:val="0"/>
      <w:divBdr>
        <w:top w:val="none" w:sz="0" w:space="0" w:color="auto"/>
        <w:left w:val="none" w:sz="0" w:space="0" w:color="auto"/>
        <w:bottom w:val="none" w:sz="0" w:space="0" w:color="auto"/>
        <w:right w:val="none" w:sz="0" w:space="0" w:color="auto"/>
      </w:divBdr>
    </w:div>
    <w:div w:id="1808618500">
      <w:bodyDiv w:val="1"/>
      <w:marLeft w:val="0"/>
      <w:marRight w:val="0"/>
      <w:marTop w:val="0"/>
      <w:marBottom w:val="0"/>
      <w:divBdr>
        <w:top w:val="none" w:sz="0" w:space="0" w:color="auto"/>
        <w:left w:val="none" w:sz="0" w:space="0" w:color="auto"/>
        <w:bottom w:val="none" w:sz="0" w:space="0" w:color="auto"/>
        <w:right w:val="none" w:sz="0" w:space="0" w:color="auto"/>
      </w:divBdr>
    </w:div>
    <w:div w:id="20775132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oleObject" Target="embeddings/oleObject3.bin"/><Relationship Id="rId21" Type="http://schemas.openxmlformats.org/officeDocument/2006/relationships/image" Target="media/image2.wmf"/><Relationship Id="rId42" Type="http://schemas.openxmlformats.org/officeDocument/2006/relationships/image" Target="media/image12.wmf"/><Relationship Id="rId47" Type="http://schemas.openxmlformats.org/officeDocument/2006/relationships/oleObject" Target="embeddings/oleObject13.bin"/><Relationship Id="rId63" Type="http://schemas.openxmlformats.org/officeDocument/2006/relationships/oleObject" Target="embeddings/oleObject21.bin"/><Relationship Id="rId68" Type="http://schemas.openxmlformats.org/officeDocument/2006/relationships/oleObject" Target="embeddings/oleObject25.bin"/><Relationship Id="rId84" Type="http://schemas.openxmlformats.org/officeDocument/2006/relationships/oleObject" Target="embeddings/oleObject35.bin"/><Relationship Id="rId89" Type="http://schemas.openxmlformats.org/officeDocument/2006/relationships/image" Target="media/image30.wmf"/><Relationship Id="rId7" Type="http://schemas.openxmlformats.org/officeDocument/2006/relationships/endnotes" Target="endnotes.xml"/><Relationship Id="rId71" Type="http://schemas.openxmlformats.org/officeDocument/2006/relationships/image" Target="media/image25.wmf"/><Relationship Id="rId92" Type="http://schemas.openxmlformats.org/officeDocument/2006/relationships/oleObject" Target="embeddings/oleObject42.bin"/><Relationship Id="rId2" Type="http://schemas.openxmlformats.org/officeDocument/2006/relationships/numbering" Target="numbering.xml"/><Relationship Id="rId16" Type="http://schemas.openxmlformats.org/officeDocument/2006/relationships/hyperlink" Target="https://www.fitchratings.com" TargetMode="External"/><Relationship Id="rId29" Type="http://schemas.openxmlformats.org/officeDocument/2006/relationships/oleObject" Target="embeddings/oleObject4.bin"/><Relationship Id="rId11" Type="http://schemas.openxmlformats.org/officeDocument/2006/relationships/hyperlink" Target="https://kad.arbitr.ru/" TargetMode="External"/><Relationship Id="rId24" Type="http://schemas.openxmlformats.org/officeDocument/2006/relationships/oleObject" Target="embeddings/oleObject2.bin"/><Relationship Id="rId32" Type="http://schemas.openxmlformats.org/officeDocument/2006/relationships/image" Target="media/image7.wmf"/><Relationship Id="rId37" Type="http://schemas.openxmlformats.org/officeDocument/2006/relationships/oleObject" Target="embeddings/oleObject8.bin"/><Relationship Id="rId40" Type="http://schemas.openxmlformats.org/officeDocument/2006/relationships/image" Target="media/image11.wmf"/><Relationship Id="rId45" Type="http://schemas.openxmlformats.org/officeDocument/2006/relationships/oleObject" Target="embeddings/oleObject12.bin"/><Relationship Id="rId53" Type="http://schemas.openxmlformats.org/officeDocument/2006/relationships/image" Target="media/image18.wmf"/><Relationship Id="rId58" Type="http://schemas.openxmlformats.org/officeDocument/2006/relationships/oleObject" Target="embeddings/oleObject18.bin"/><Relationship Id="rId66" Type="http://schemas.openxmlformats.org/officeDocument/2006/relationships/oleObject" Target="embeddings/oleObject23.bin"/><Relationship Id="rId74" Type="http://schemas.openxmlformats.org/officeDocument/2006/relationships/image" Target="media/image26.wmf"/><Relationship Id="rId79" Type="http://schemas.openxmlformats.org/officeDocument/2006/relationships/oleObject" Target="embeddings/oleObject31.bin"/><Relationship Id="rId87" Type="http://schemas.openxmlformats.org/officeDocument/2006/relationships/oleObject" Target="embeddings/oleObject38.bin"/><Relationship Id="rId102" Type="http://schemas.openxmlformats.org/officeDocument/2006/relationships/image" Target="media/image35.wmf"/><Relationship Id="rId5" Type="http://schemas.openxmlformats.org/officeDocument/2006/relationships/webSettings" Target="webSettings.xml"/><Relationship Id="rId61" Type="http://schemas.openxmlformats.org/officeDocument/2006/relationships/image" Target="media/image22.wmf"/><Relationship Id="rId82" Type="http://schemas.openxmlformats.org/officeDocument/2006/relationships/oleObject" Target="embeddings/oleObject33.bin"/><Relationship Id="rId90" Type="http://schemas.openxmlformats.org/officeDocument/2006/relationships/oleObject" Target="embeddings/oleObject40.bin"/><Relationship Id="rId95" Type="http://schemas.openxmlformats.org/officeDocument/2006/relationships/image" Target="media/image32.png"/><Relationship Id="rId19" Type="http://schemas.openxmlformats.org/officeDocument/2006/relationships/hyperlink" Target="https://bankrot.fedresurs.ru" TargetMode="External"/><Relationship Id="rId14" Type="http://schemas.openxmlformats.org/officeDocument/2006/relationships/hyperlink" Target="https://www.acra-ratings.ru/" TargetMode="External"/><Relationship Id="rId22" Type="http://schemas.openxmlformats.org/officeDocument/2006/relationships/oleObject" Target="embeddings/oleObject1.bin"/><Relationship Id="rId27" Type="http://schemas.openxmlformats.org/officeDocument/2006/relationships/hyperlink" Target="http://www.cbr.ru/statistics/?PrtId=int_rat" TargetMode="External"/><Relationship Id="rId30" Type="http://schemas.openxmlformats.org/officeDocument/2006/relationships/image" Target="media/image6.wmf"/><Relationship Id="rId35" Type="http://schemas.openxmlformats.org/officeDocument/2006/relationships/oleObject" Target="embeddings/oleObject7.bin"/><Relationship Id="rId43" Type="http://schemas.openxmlformats.org/officeDocument/2006/relationships/oleObject" Target="embeddings/oleObject11.bin"/><Relationship Id="rId48" Type="http://schemas.openxmlformats.org/officeDocument/2006/relationships/image" Target="media/image15.wmf"/><Relationship Id="rId56" Type="http://schemas.openxmlformats.org/officeDocument/2006/relationships/oleObject" Target="embeddings/oleObject17.bin"/><Relationship Id="rId64" Type="http://schemas.openxmlformats.org/officeDocument/2006/relationships/image" Target="media/image23.wmf"/><Relationship Id="rId69" Type="http://schemas.openxmlformats.org/officeDocument/2006/relationships/image" Target="media/image24.wmf"/><Relationship Id="rId77" Type="http://schemas.openxmlformats.org/officeDocument/2006/relationships/oleObject" Target="embeddings/oleObject30.bin"/><Relationship Id="rId100" Type="http://schemas.openxmlformats.org/officeDocument/2006/relationships/oleObject" Target="embeddings/oleObject46.bin"/><Relationship Id="rId105" Type="http://schemas.openxmlformats.org/officeDocument/2006/relationships/fontTable" Target="fontTable.xml"/><Relationship Id="rId8" Type="http://schemas.openxmlformats.org/officeDocument/2006/relationships/image" Target="media/image1.png"/><Relationship Id="rId51" Type="http://schemas.openxmlformats.org/officeDocument/2006/relationships/oleObject" Target="embeddings/oleObject15.bin"/><Relationship Id="rId72" Type="http://schemas.openxmlformats.org/officeDocument/2006/relationships/oleObject" Target="embeddings/oleObject27.bin"/><Relationship Id="rId80" Type="http://schemas.openxmlformats.org/officeDocument/2006/relationships/image" Target="media/image29.wmf"/><Relationship Id="rId85" Type="http://schemas.openxmlformats.org/officeDocument/2006/relationships/oleObject" Target="embeddings/oleObject36.bin"/><Relationship Id="rId93" Type="http://schemas.openxmlformats.org/officeDocument/2006/relationships/image" Target="media/image31.wmf"/><Relationship Id="rId98" Type="http://schemas.openxmlformats.org/officeDocument/2006/relationships/oleObject" Target="embeddings/oleObject45.bin"/><Relationship Id="rId3" Type="http://schemas.openxmlformats.org/officeDocument/2006/relationships/styles" Target="styles.xml"/><Relationship Id="rId12" Type="http://schemas.openxmlformats.org/officeDocument/2006/relationships/hyperlink" Target="https://bankrot.fedresurs.ru" TargetMode="External"/><Relationship Id="rId17" Type="http://schemas.openxmlformats.org/officeDocument/2006/relationships/hyperlink" Target="http://www.gks.ru/accounting_report" TargetMode="External"/><Relationship Id="rId25" Type="http://schemas.openxmlformats.org/officeDocument/2006/relationships/image" Target="media/image4.wmf"/><Relationship Id="rId33" Type="http://schemas.openxmlformats.org/officeDocument/2006/relationships/oleObject" Target="embeddings/oleObject6.bin"/><Relationship Id="rId38" Type="http://schemas.openxmlformats.org/officeDocument/2006/relationships/image" Target="media/image10.wmf"/><Relationship Id="rId46" Type="http://schemas.openxmlformats.org/officeDocument/2006/relationships/image" Target="media/image14.wmf"/><Relationship Id="rId59" Type="http://schemas.openxmlformats.org/officeDocument/2006/relationships/image" Target="media/image21.wmf"/><Relationship Id="rId67" Type="http://schemas.openxmlformats.org/officeDocument/2006/relationships/oleObject" Target="embeddings/oleObject24.bin"/><Relationship Id="rId103" Type="http://schemas.openxmlformats.org/officeDocument/2006/relationships/oleObject" Target="embeddings/oleObject47.bin"/><Relationship Id="rId20" Type="http://schemas.openxmlformats.org/officeDocument/2006/relationships/hyperlink" Target="https://bankruptcy.kommersant.ru" TargetMode="External"/><Relationship Id="rId41" Type="http://schemas.openxmlformats.org/officeDocument/2006/relationships/oleObject" Target="embeddings/oleObject10.bin"/><Relationship Id="rId54" Type="http://schemas.openxmlformats.org/officeDocument/2006/relationships/oleObject" Target="embeddings/oleObject16.bin"/><Relationship Id="rId62" Type="http://schemas.openxmlformats.org/officeDocument/2006/relationships/oleObject" Target="embeddings/oleObject20.bin"/><Relationship Id="rId70" Type="http://schemas.openxmlformats.org/officeDocument/2006/relationships/oleObject" Target="embeddings/oleObject26.bin"/><Relationship Id="rId75" Type="http://schemas.openxmlformats.org/officeDocument/2006/relationships/oleObject" Target="embeddings/oleObject29.bin"/><Relationship Id="rId83" Type="http://schemas.openxmlformats.org/officeDocument/2006/relationships/oleObject" Target="embeddings/oleObject34.bin"/><Relationship Id="rId88" Type="http://schemas.openxmlformats.org/officeDocument/2006/relationships/oleObject" Target="embeddings/oleObject39.bin"/><Relationship Id="rId91" Type="http://schemas.openxmlformats.org/officeDocument/2006/relationships/oleObject" Target="embeddings/oleObject41.bin"/><Relationship Id="rId96" Type="http://schemas.openxmlformats.org/officeDocument/2006/relationships/image" Target="media/image33.png"/><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hyperlink" Target="https://raexpert.ru/" TargetMode="External"/><Relationship Id="rId23" Type="http://schemas.openxmlformats.org/officeDocument/2006/relationships/image" Target="media/image3.wmf"/><Relationship Id="rId28" Type="http://schemas.openxmlformats.org/officeDocument/2006/relationships/image" Target="media/image5.wmf"/><Relationship Id="rId36" Type="http://schemas.openxmlformats.org/officeDocument/2006/relationships/image" Target="media/image9.wmf"/><Relationship Id="rId49" Type="http://schemas.openxmlformats.org/officeDocument/2006/relationships/oleObject" Target="embeddings/oleObject14.bin"/><Relationship Id="rId57" Type="http://schemas.openxmlformats.org/officeDocument/2006/relationships/image" Target="media/image20.wmf"/><Relationship Id="rId106" Type="http://schemas.openxmlformats.org/officeDocument/2006/relationships/theme" Target="theme/theme1.xml"/><Relationship Id="rId10" Type="http://schemas.openxmlformats.org/officeDocument/2006/relationships/hyperlink" Target="https://www.moex.com/" TargetMode="External"/><Relationship Id="rId31" Type="http://schemas.openxmlformats.org/officeDocument/2006/relationships/oleObject" Target="embeddings/oleObject5.bin"/><Relationship Id="rId44" Type="http://schemas.openxmlformats.org/officeDocument/2006/relationships/image" Target="media/image13.wmf"/><Relationship Id="rId52" Type="http://schemas.openxmlformats.org/officeDocument/2006/relationships/image" Target="media/image17.png"/><Relationship Id="rId60" Type="http://schemas.openxmlformats.org/officeDocument/2006/relationships/oleObject" Target="embeddings/oleObject19.bin"/><Relationship Id="rId65" Type="http://schemas.openxmlformats.org/officeDocument/2006/relationships/oleObject" Target="embeddings/oleObject22.bin"/><Relationship Id="rId73" Type="http://schemas.openxmlformats.org/officeDocument/2006/relationships/oleObject" Target="embeddings/oleObject28.bin"/><Relationship Id="rId78" Type="http://schemas.openxmlformats.org/officeDocument/2006/relationships/image" Target="media/image28.wmf"/><Relationship Id="rId81" Type="http://schemas.openxmlformats.org/officeDocument/2006/relationships/oleObject" Target="embeddings/oleObject32.bin"/><Relationship Id="rId86" Type="http://schemas.openxmlformats.org/officeDocument/2006/relationships/oleObject" Target="embeddings/oleObject37.bin"/><Relationship Id="rId94" Type="http://schemas.openxmlformats.org/officeDocument/2006/relationships/oleObject" Target="embeddings/oleObject43.bin"/><Relationship Id="rId99" Type="http://schemas.openxmlformats.org/officeDocument/2006/relationships/image" Target="media/image34.wmf"/><Relationship Id="rId101" Type="http://schemas.openxmlformats.org/officeDocument/2006/relationships/hyperlink" Target="https://www.spratings.com/documents/20184/774196/2016+Annual+Global+Corporate+Default+Study+And+Rating+Transitions.pdf/2ddcf9dd-3b82-4151-9dab-8e3fc70a7035" TargetMode="External"/><Relationship Id="rId4" Type="http://schemas.openxmlformats.org/officeDocument/2006/relationships/settings" Target="settings.xml"/><Relationship Id="rId9" Type="http://schemas.openxmlformats.org/officeDocument/2006/relationships/hyperlink" Target="https://www.e-disclosure.ru/" TargetMode="External"/><Relationship Id="rId13" Type="http://schemas.openxmlformats.org/officeDocument/2006/relationships/hyperlink" Target="https://fedresurs.ru" TargetMode="External"/><Relationship Id="rId18" Type="http://schemas.openxmlformats.org/officeDocument/2006/relationships/hyperlink" Target="https://kad.arbitr.ru/" TargetMode="External"/><Relationship Id="rId39" Type="http://schemas.openxmlformats.org/officeDocument/2006/relationships/oleObject" Target="embeddings/oleObject9.bin"/><Relationship Id="rId34" Type="http://schemas.openxmlformats.org/officeDocument/2006/relationships/image" Target="media/image8.wmf"/><Relationship Id="rId50" Type="http://schemas.openxmlformats.org/officeDocument/2006/relationships/image" Target="media/image16.wmf"/><Relationship Id="rId55" Type="http://schemas.openxmlformats.org/officeDocument/2006/relationships/image" Target="media/image19.wmf"/><Relationship Id="rId76" Type="http://schemas.openxmlformats.org/officeDocument/2006/relationships/image" Target="media/image27.wmf"/><Relationship Id="rId97" Type="http://schemas.openxmlformats.org/officeDocument/2006/relationships/oleObject" Target="embeddings/oleObject44.bin"/><Relationship Id="rId104"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55B3E5E-01E5-4949-9C10-713F241A4AF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9</Pages>
  <Words>20323</Words>
  <Characters>115843</Characters>
  <Application>Microsoft Office Word</Application>
  <DocSecurity>0</DocSecurity>
  <Lines>965</Lines>
  <Paragraphs>271</Paragraphs>
  <ScaleCrop>false</ScaleCrop>
  <HeadingPairs>
    <vt:vector size="4" baseType="variant">
      <vt:variant>
        <vt:lpstr>Название</vt:lpstr>
      </vt:variant>
      <vt:variant>
        <vt:i4>1</vt:i4>
      </vt:variant>
      <vt:variant>
        <vt:lpstr>Title</vt:lpstr>
      </vt:variant>
      <vt:variant>
        <vt:i4>1</vt:i4>
      </vt:variant>
    </vt:vector>
  </HeadingPairs>
  <TitlesOfParts>
    <vt:vector size="2" baseType="lpstr">
      <vt:lpstr>Приложение № 4 к Правилам</vt:lpstr>
      <vt:lpstr>Приложение № 4 к Правилам</vt:lpstr>
    </vt:vector>
  </TitlesOfParts>
  <Company>UralSib</Company>
  <LinksUpToDate>false</LinksUpToDate>
  <CharactersWithSpaces>135895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Приложение № 4 к Правилам</dc:title>
  <dc:creator>Ковригин Василий Николаевич</dc:creator>
  <cp:lastModifiedBy>Микурова Дарья Андреевна</cp:lastModifiedBy>
  <cp:revision>5</cp:revision>
  <cp:lastPrinted>2019-03-26T08:14:00Z</cp:lastPrinted>
  <dcterms:created xsi:type="dcterms:W3CDTF">2021-06-21T15:19:00Z</dcterms:created>
  <dcterms:modified xsi:type="dcterms:W3CDTF">2021-06-22T09:11:00Z</dcterms:modified>
</cp:coreProperties>
</file>